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rPr>
        <w:t>Free</w:t>
      </w:r>
      <w:r w:rsidRPr="00092B1C">
        <w:rPr>
          <w:rFonts w:hint="eastAsia"/>
        </w:rPr>
        <w:t>w</w:t>
      </w:r>
      <w:r w:rsidRPr="00092B1C">
        <w:t>ays</w:t>
      </w:r>
    </w:p>
    <w:bookmarkEnd w:id="0"/>
    <w:bookmarkEnd w:id="1"/>
    <w:p w14:paraId="5068C4F4" w14:textId="1A7A755B"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E9011C">
        <w:rPr>
          <w:rFonts w:eastAsiaTheme="minorEastAsia" w:hint="eastAsia"/>
          <w:lang w:eastAsia="zh-CN"/>
        </w:rPr>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E9011C" w:rsidRPr="00E9011C">
        <w:rPr>
          <w:rFonts w:ascii="宋体" w:eastAsia="宋体" w:hAnsi="宋体" w:cs="宋体" w:hint="eastAsia"/>
          <w:lang w:eastAsia="zh-CN"/>
        </w:rPr>
        <w:t>,</w:t>
      </w:r>
      <w:r w:rsidR="00E9011C" w:rsidRPr="00092B1C">
        <w:t xml:space="preserve"> He Wei</w:t>
      </w:r>
      <w:bookmarkEnd w:id="6"/>
      <w:bookmarkEnd w:id="7"/>
      <w:r w:rsidR="00D03971" w:rsidRPr="00092B1C">
        <w:rPr>
          <w:vertAlign w:val="superscript"/>
        </w:rPr>
        <w:t>2</w:t>
      </w:r>
      <w:r w:rsidR="00743690" w:rsidRPr="00092B1C">
        <w:t xml:space="preserve"> and </w:t>
      </w:r>
      <w:bookmarkStart w:id="8" w:name="OLE_LINK187"/>
      <w:bookmarkStart w:id="9" w:name="OLE_LINK188"/>
      <w:r w:rsidRPr="00092B1C">
        <w:t>Xiaodong Zhang</w:t>
      </w:r>
      <w:bookmarkEnd w:id="8"/>
      <w:bookmarkEnd w:id="9"/>
      <w:r w:rsidR="00D03971" w:rsidRPr="00092B1C">
        <w:rPr>
          <w:vertAlign w:val="superscript"/>
        </w:rPr>
        <w:t>2</w:t>
      </w:r>
      <w:r w:rsidR="00D03971" w:rsidRPr="00092B1C">
        <w:rPr>
          <w:rFonts w:hint="eastAsia"/>
          <w:vertAlign w:val="superscript"/>
          <w:lang w:eastAsia="zh-CN"/>
        </w:rPr>
        <w:t>*</w:t>
      </w:r>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3B5DD175"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Beijing Municipal Institute of City Planning and Design, Beijing 100045, China</w:t>
      </w:r>
      <w:r w:rsidRPr="00092B1C">
        <w:rPr>
          <w:lang w:val="de-DE"/>
        </w:rPr>
        <w:br/>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sidRPr="00092B1C">
        <w:rPr>
          <w:b/>
          <w:bCs/>
        </w:rPr>
        <w:t>Keywords:</w:t>
      </w:r>
      <w:r w:rsidRPr="00092B1C">
        <w:t xml:space="preserve"> </w:t>
      </w:r>
      <w:r w:rsidR="004E031A" w:rsidRPr="00092B1C">
        <w:t>Emergency</w:t>
      </w:r>
      <w:r w:rsidR="00A72AAD" w:rsidRPr="00092B1C">
        <w:t xml:space="preserve"> Logistics, Truck</w:t>
      </w:r>
      <w:r w:rsidR="004E031A" w:rsidRPr="00092B1C">
        <w:t xml:space="preserve">-drone </w:t>
      </w:r>
      <w:r w:rsidR="00A72AAD" w:rsidRPr="00092B1C">
        <w:t>Coordination, Multi</w:t>
      </w:r>
      <w:r w:rsidR="004E031A" w:rsidRPr="00092B1C">
        <w:t xml:space="preserve">-type </w:t>
      </w:r>
      <w:r w:rsidR="00A72AAD" w:rsidRPr="00092B1C">
        <w:t>Evacuation, Hazardous</w:t>
      </w:r>
      <w:r w:rsidR="004E031A" w:rsidRPr="00092B1C">
        <w:t xml:space="preserve">-material </w:t>
      </w:r>
      <w:r w:rsidR="00A72AAD" w:rsidRPr="00092B1C">
        <w:t>Incidents, Urban Expressways, Transportation Resilience</w:t>
      </w:r>
      <w:r w:rsidR="00A72AAD" w:rsidRPr="00092B1C">
        <w:rPr>
          <w:lang w:eastAsia="zh-CN"/>
        </w:rPr>
        <w:t>.</w:t>
      </w:r>
    </w:p>
    <w:p w14:paraId="3988444D" w14:textId="2EDD47E9" w:rsidR="00C8652E" w:rsidRPr="00092B1C" w:rsidRDefault="00CB57D5" w:rsidP="001A5011">
      <w:pPr>
        <w:pStyle w:val="heading1"/>
        <w:numPr>
          <w:ilvl w:val="0"/>
          <w:numId w:val="7"/>
        </w:numPr>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fldLock="1"/>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Recent accidents in China—e.g., the 2005 Huai'an liquid-chlorine rollover (29 deaths, ~10,000 evacuated) and the 2020 Wenling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w:t>
      </w:r>
      <w:r w:rsidRPr="00092B1C">
        <w:rPr>
          <w:lang w:eastAsia="zh-CN"/>
        </w:rPr>
        <w:lastRenderedPageBreak/>
        <w:t>evacuation under stringent time constraints is a critical scientific question that urgently needs to be addressed.</w:t>
      </w:r>
    </w:p>
    <w:p w14:paraId="0273810D" w14:textId="45C8D4C5" w:rsidR="00760F3A" w:rsidRPr="00092B1C" w:rsidRDefault="00760F3A" w:rsidP="001A5011">
      <w:pPr>
        <w:rPr>
          <w:lang w:eastAsia="zh-CN"/>
        </w:rPr>
      </w:pPr>
      <w:r w:rsidRPr="00092B1C">
        <w:t>Emergency logistics has been extensively reviewed</w:t>
      </w:r>
      <w:r w:rsidR="00B01438"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fldLock="1"/>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fldLock="1"/>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fldLock="1"/>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fldLock="1"/>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fldLock="1"/>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1A5011">
      <w:pPr>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1A5011">
      <w:pPr>
        <w:pStyle w:val="heading1"/>
        <w:numPr>
          <w:ilvl w:val="0"/>
          <w:numId w:val="7"/>
        </w:numPr>
      </w:pPr>
      <w:r w:rsidRPr="00092B1C">
        <w:t>Study Area and Data</w:t>
      </w:r>
    </w:p>
    <w:p w14:paraId="62ED93C9" w14:textId="06A8839F" w:rsidR="00AE0D8B" w:rsidRPr="00092B1C" w:rsidRDefault="00AE0D8B" w:rsidP="001A5011">
      <w:pPr>
        <w:pStyle w:val="heading2"/>
        <w:numPr>
          <w:ilvl w:val="1"/>
          <w:numId w:val="7"/>
        </w:numPr>
        <w:spacing w:before="0"/>
      </w:pPr>
      <w:r w:rsidRPr="00092B1C">
        <w:t xml:space="preserve">Study </w:t>
      </w:r>
      <w:r w:rsidR="006B3A5A" w:rsidRPr="00092B1C">
        <w:t>Area</w:t>
      </w:r>
    </w:p>
    <w:p w14:paraId="62622ECC" w14:textId="7440F16E" w:rsidR="00861A4A" w:rsidRPr="00092B1C" w:rsidRDefault="00E50263" w:rsidP="00907A87">
      <w:pPr>
        <w:pStyle w:val="p1a"/>
        <w:rPr>
          <w:lang w:eastAsia="zh-CN"/>
        </w:rPr>
      </w:pPr>
      <w:r w:rsidRPr="00092B1C">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sidRPr="00092B1C">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1A5011">
      <w:pPr>
        <w:pStyle w:val="p1a"/>
        <w:rPr>
          <w:lang w:eastAsia="zh-CN"/>
        </w:rPr>
      </w:pPr>
      <w:r w:rsidRPr="00092B1C">
        <w:rPr>
          <w:lang w:eastAsia="zh-CN"/>
        </w:rPr>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rsidRPr="00092B1C">
        <w:t xml:space="preserve">Data </w:t>
      </w:r>
      <w:r w:rsidR="006B3A5A" w:rsidRPr="00092B1C">
        <w:t>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1984"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1984"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rsidRPr="00092B1C">
        <w:t>Research</w:t>
      </w:r>
      <w:r w:rsidR="006B3A5A" w:rsidRPr="00092B1C">
        <w:t xml:space="preserve"> Framework</w:t>
      </w:r>
    </w:p>
    <w:p w14:paraId="3296CA1D" w14:textId="131455CD" w:rsidR="003F5019" w:rsidRPr="00092B1C" w:rsidRDefault="003F5019" w:rsidP="001A5011">
      <w:pPr>
        <w:pStyle w:val="p1a"/>
        <w:rPr>
          <w:lang w:eastAsia="zh-CN"/>
        </w:rPr>
      </w:pPr>
      <w:bookmarkStart w:id="14" w:name="OLE_LINK144"/>
      <w:bookmarkStart w:id="15" w:name="OLE_LINK145"/>
      <w:r w:rsidRPr="00092B1C">
        <w:rPr>
          <w:lang w:eastAsia="zh-CN"/>
        </w:rPr>
        <w:t>We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r w:rsidRPr="00092B1C">
        <w:rPr>
          <w:rFonts w:eastAsia="仿宋"/>
          <w:noProof/>
          <w:sz w:val="24"/>
          <w:szCs w:val="24"/>
        </w:rPr>
        <w:drawing>
          <wp:inline distT="0" distB="0" distL="0" distR="0" wp14:anchorId="698165E5" wp14:editId="71F5482D">
            <wp:extent cx="4183200" cy="1472400"/>
            <wp:effectExtent l="0" t="0" r="8255" b="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183200" cy="1472400"/>
                    </a:xfrm>
                    <a:prstGeom prst="rect">
                      <a:avLst/>
                    </a:prstGeom>
                  </pic:spPr>
                </pic:pic>
              </a:graphicData>
            </a:graphic>
          </wp:inline>
        </w:drawing>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rsidRPr="00092B1C">
        <w:t>Methodology</w:t>
      </w:r>
    </w:p>
    <w:p w14:paraId="38DDFC1F" w14:textId="2026BF03" w:rsidR="00A6230B" w:rsidRPr="00092B1C" w:rsidRDefault="009E3732" w:rsidP="001A5011">
      <w:pPr>
        <w:pStyle w:val="heading2"/>
        <w:numPr>
          <w:ilvl w:val="1"/>
          <w:numId w:val="7"/>
        </w:numPr>
        <w:spacing w:before="0"/>
      </w:pPr>
      <w:r w:rsidRPr="00092B1C">
        <w:rPr>
          <w:rFonts w:hint="eastAsia"/>
          <w:lang w:eastAsia="zh-CN"/>
        </w:rPr>
        <w:t>S</w:t>
      </w:r>
      <w:r w:rsidR="00A6230B" w:rsidRPr="00092B1C">
        <w:t xml:space="preserve">cenario </w:t>
      </w:r>
      <w:r w:rsidR="006B3A5A" w:rsidRPr="00092B1C">
        <w:t>Modelling</w:t>
      </w:r>
    </w:p>
    <w:p w14:paraId="3A8CA17B" w14:textId="44DF4E3A" w:rsidR="00FC50B9" w:rsidRPr="00092B1C" w:rsidRDefault="00FC50B9" w:rsidP="001A5011">
      <w:pPr>
        <w:pStyle w:val="p1a"/>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rsidRPr="00092B1C">
        <w:lastRenderedPageBreak/>
        <w:t xml:space="preserve">Emergency </w:t>
      </w:r>
      <w:r w:rsidR="006B3A5A" w:rsidRPr="00092B1C">
        <w:t>Supply Distribution Model</w:t>
      </w:r>
    </w:p>
    <w:p w14:paraId="661F7933" w14:textId="32546004" w:rsidR="008C60DC" w:rsidRPr="00092B1C" w:rsidRDefault="008C60DC" w:rsidP="001A5011">
      <w:pPr>
        <w:pStyle w:val="p1a"/>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1032E423" w:rsidR="00A6230B" w:rsidRPr="00092B1C" w:rsidRDefault="00A6230B" w:rsidP="001A5011">
      <w:pPr>
        <w:pStyle w:val="heading2"/>
        <w:numPr>
          <w:ilvl w:val="1"/>
          <w:numId w:val="7"/>
        </w:numPr>
        <w:spacing w:before="160"/>
      </w:pPr>
      <w:r w:rsidRPr="00092B1C">
        <w:t>Multi-type</w:t>
      </w:r>
      <w:r w:rsidR="006B3A5A" w:rsidRPr="00092B1C">
        <w:t xml:space="preserve"> Evacuation Model</w:t>
      </w:r>
    </w:p>
    <w:p w14:paraId="308B262C" w14:textId="37B200AC" w:rsidR="00F307E5" w:rsidRPr="00092B1C" w:rsidRDefault="00F307E5" w:rsidP="001A5011">
      <w:pPr>
        <w:pStyle w:val="p1a"/>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1A5011">
      <w:pPr>
        <w:pStyle w:val="heading1"/>
        <w:numPr>
          <w:ilvl w:val="0"/>
          <w:numId w:val="7"/>
        </w:numPr>
      </w:pPr>
      <w:r w:rsidRPr="00092B1C">
        <w:t>Case Study and Numerical Results</w:t>
      </w:r>
    </w:p>
    <w:p w14:paraId="1EFFFB70" w14:textId="015DD103" w:rsidR="00A6230B" w:rsidRPr="00092B1C" w:rsidRDefault="00A6230B" w:rsidP="001A5011">
      <w:pPr>
        <w:pStyle w:val="heading2"/>
        <w:numPr>
          <w:ilvl w:val="1"/>
          <w:numId w:val="7"/>
        </w:numPr>
        <w:spacing w:before="0"/>
      </w:pPr>
      <w:r w:rsidRPr="00092B1C">
        <w:t>Incident</w:t>
      </w:r>
      <w:r w:rsidR="006B3A5A" w:rsidRPr="00092B1C">
        <w:t xml:space="preserve"> Scenario Configuration</w:t>
      </w:r>
    </w:p>
    <w:p w14:paraId="5D5DAB29" w14:textId="77777777" w:rsidR="00A6230B" w:rsidRPr="00092B1C" w:rsidRDefault="00A6230B" w:rsidP="00A6230B">
      <w:pPr>
        <w:pStyle w:val="p1a"/>
        <w:rPr>
          <w:lang w:eastAsia="zh-CN"/>
        </w:rPr>
      </w:pPr>
      <w:r w:rsidRPr="00092B1C">
        <w:t>Within the 1 km core-closure zone, 96.7 km of road is closed, accounting for 19.1% of the total road length (505.3 km) within the 5 km influence zone.</w:t>
      </w:r>
      <w:r w:rsidRPr="00092B1C">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5500CB3" w:rsidR="00CC6E81" w:rsidRPr="00092B1C" w:rsidRDefault="00A6230B" w:rsidP="001A5011">
      <w:pPr>
        <w:pStyle w:val="heading2"/>
        <w:numPr>
          <w:ilvl w:val="1"/>
          <w:numId w:val="7"/>
        </w:numPr>
        <w:spacing w:before="160"/>
      </w:pPr>
      <w:r w:rsidRPr="00092B1C">
        <w:t xml:space="preserve">Wind-direction </w:t>
      </w:r>
      <w:r w:rsidR="006B3A5A" w:rsidRPr="00092B1C">
        <w:t>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rsidRPr="00092B1C">
        <w:lastRenderedPageBreak/>
        <w:t xml:space="preserve">Supply </w:t>
      </w:r>
      <w:r w:rsidR="006B3A5A" w:rsidRPr="00092B1C">
        <w:t>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sidRPr="00092B1C">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sidRPr="00092B1C">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proofErr w:type="spellStart"/>
            <w:r w:rsidRPr="00092B1C">
              <w:rPr>
                <w:sz w:val="18"/>
                <w:szCs w:val="18"/>
              </w:rPr>
              <w:t>Makespan</w:t>
            </w:r>
            <w:proofErr w:type="spellEnd"/>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sidRPr="00092B1C">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sidRPr="00092B1C">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sidRPr="00092B1C">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sidRPr="00092B1C">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sidRPr="00092B1C">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sidRPr="00092B1C">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sidRPr="00092B1C">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sidRPr="00092B1C">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sidRPr="00092B1C">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sidRPr="00092B1C">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rsidRPr="00092B1C">
        <w:t xml:space="preserve">Evacuation </w:t>
      </w:r>
      <w:r w:rsidR="006B3A5A" w:rsidRPr="00092B1C">
        <w:t>Results</w:t>
      </w:r>
    </w:p>
    <w:p w14:paraId="20778612" w14:textId="4537B2C6" w:rsidR="00363664" w:rsidRPr="00092B1C" w:rsidRDefault="00363664" w:rsidP="00363664">
      <w:pPr>
        <w:pStyle w:val="p1a"/>
        <w:rPr>
          <w:lang w:eastAsia="zh-CN"/>
        </w:rPr>
      </w:pPr>
      <w:r w:rsidRPr="00092B1C">
        <w:t>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1A5011">
      <w:pPr>
        <w:spacing w:before="360"/>
        <w:ind w:left="227" w:hanging="227"/>
        <w:jc w:val="center"/>
        <w:rPr>
          <w:i/>
          <w:iCs/>
          <w:lang w:eastAsia="zh-CN"/>
        </w:rPr>
      </w:pPr>
      <w:r w:rsidRPr="00092B1C">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rsidRPr="00092B1C">
        <w:t>Discussion</w:t>
      </w:r>
    </w:p>
    <w:p w14:paraId="0A27E15C" w14:textId="2C2D548E" w:rsidR="00A6230B" w:rsidRPr="00092B1C" w:rsidRDefault="00A6230B" w:rsidP="001A5011">
      <w:pPr>
        <w:pStyle w:val="heading2"/>
        <w:numPr>
          <w:ilvl w:val="1"/>
          <w:numId w:val="7"/>
        </w:numPr>
        <w:spacing w:before="0"/>
      </w:pPr>
      <w:r w:rsidRPr="00092B1C">
        <w:t xml:space="preserve">Asymmetric </w:t>
      </w:r>
      <w:r w:rsidR="006B3A5A" w:rsidRPr="00092B1C">
        <w:t>Resilience</w:t>
      </w:r>
      <w:r w:rsidRPr="00092B1C">
        <w:t xml:space="preserve"> between </w:t>
      </w:r>
      <w:r w:rsidR="006B3A5A" w:rsidRPr="00092B1C">
        <w:t xml:space="preserve">Supply Distribution </w:t>
      </w:r>
      <w:r w:rsidRPr="00092B1C">
        <w:t xml:space="preserve">and </w:t>
      </w:r>
      <w:r w:rsidR="006B3A5A" w:rsidRPr="00092B1C">
        <w:t>Evacuation</w:t>
      </w:r>
    </w:p>
    <w:p w14:paraId="2806E889" w14:textId="41B32134" w:rsidR="00AA4F8E" w:rsidRPr="00092B1C" w:rsidRDefault="00AA4F8E" w:rsidP="00AA4F8E">
      <w:pPr>
        <w:pStyle w:val="p1a"/>
        <w:rPr>
          <w:lang w:eastAsia="zh-CN"/>
        </w:rPr>
      </w:pPr>
      <w:r w:rsidRPr="00092B1C">
        <w:t>The system shows a pronounced asymmetric resilience pattern: supply distribution achieves high functional resilience, while k=1 critical-casualty evacuation forms a sharp structural bottleneck.</w:t>
      </w:r>
      <w:r w:rsidRPr="00092B1C">
        <w:rPr>
          <w:lang w:eastAsia="zh-CN"/>
        </w:rPr>
        <w:t xml:space="preserve">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2D1C72E5" w:rsidR="00A6230B" w:rsidRPr="00092B1C" w:rsidRDefault="00A6230B" w:rsidP="001A5011">
      <w:pPr>
        <w:pStyle w:val="heading2"/>
        <w:numPr>
          <w:ilvl w:val="1"/>
          <w:numId w:val="7"/>
        </w:numPr>
        <w:spacing w:before="160"/>
      </w:pPr>
      <w:r w:rsidRPr="00092B1C">
        <w:t xml:space="preserve">The </w:t>
      </w:r>
      <w:r w:rsidR="006B3A5A" w:rsidRPr="00092B1C">
        <w:t>Decisive Role</w:t>
      </w:r>
      <w:r w:rsidRPr="00092B1C">
        <w:t xml:space="preserve"> of </w:t>
      </w:r>
      <w:r w:rsidR="006B3A5A" w:rsidRPr="00092B1C">
        <w:t>Critical Infrastructure</w:t>
      </w:r>
    </w:p>
    <w:p w14:paraId="2518EC66" w14:textId="1084DF7B" w:rsidR="00A6230B" w:rsidRPr="00092B1C" w:rsidRDefault="00AA4F8E" w:rsidP="00A6230B">
      <w:pPr>
        <w:pStyle w:val="p1a"/>
        <w:rPr>
          <w:lang w:eastAsia="zh-CN"/>
        </w:rPr>
      </w:pPr>
      <w:r w:rsidRPr="00092B1C">
        <w:t>The</w:t>
      </w:r>
      <w:r w:rsidRPr="00092B1C">
        <w:rPr>
          <w:lang w:eastAsia="zh-CN"/>
        </w:rPr>
        <w:t xml:space="preserv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2FB08DD1" w:rsidR="00A6230B" w:rsidRPr="00092B1C" w:rsidRDefault="00A6230B" w:rsidP="001A5011">
      <w:pPr>
        <w:pStyle w:val="heading2"/>
        <w:numPr>
          <w:ilvl w:val="1"/>
          <w:numId w:val="7"/>
        </w:numPr>
        <w:spacing w:before="160"/>
      </w:pPr>
      <w:r w:rsidRPr="00092B1C">
        <w:t>Applicability</w:t>
      </w:r>
      <w:r w:rsidR="006B3A5A" w:rsidRPr="00092B1C">
        <w:t xml:space="preserve"> Boundary</w:t>
      </w:r>
      <w:r w:rsidRPr="00092B1C">
        <w:t xml:space="preserve"> of</w:t>
      </w:r>
      <w:r w:rsidR="006B3A5A" w:rsidRPr="00092B1C">
        <w:t xml:space="preserve"> Truck</w:t>
      </w:r>
      <w:r w:rsidRPr="00092B1C">
        <w:t>-drone</w:t>
      </w:r>
      <w:r w:rsidR="006B3A5A" w:rsidRPr="00092B1C">
        <w:t xml:space="preserve"> Coordination</w:t>
      </w:r>
    </w:p>
    <w:p w14:paraId="5C764CEB" w14:textId="64B8D263" w:rsidR="00780A2D" w:rsidRPr="00092B1C" w:rsidRDefault="00780A2D" w:rsidP="001A5011">
      <w:pPr>
        <w:pStyle w:val="p1a"/>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w:t>
      </w:r>
      <w:r w:rsidRPr="00780A2D">
        <w:rPr>
          <w:lang w:eastAsia="zh-CN"/>
        </w:rPr>
        <w:lastRenderedPageBreak/>
        <w:t>threshold is too low, mis-assigning tasks to relay. This is consistent with [8] that drones add value mainly under large-scale damage. In lightly damaged scenarios, schedulers should prioritize direct delivery and trigger relay only when direct travel time exceeds a threshold or the destination lies inside the closure zone; advantages of relay grow as damage intensifies.</w:t>
      </w:r>
    </w:p>
    <w:p w14:paraId="769D68DD" w14:textId="12788B73" w:rsidR="00A6230B" w:rsidRPr="00092B1C" w:rsidRDefault="00A6230B" w:rsidP="001A5011">
      <w:pPr>
        <w:pStyle w:val="heading1"/>
        <w:numPr>
          <w:ilvl w:val="0"/>
          <w:numId w:val="7"/>
        </w:numPr>
      </w:pPr>
      <w:r w:rsidRPr="00092B1C">
        <w:t>Conclusions</w:t>
      </w:r>
    </w:p>
    <w:p w14:paraId="0FCCD7F4" w14:textId="038C392F" w:rsidR="00A6230B" w:rsidRPr="00092B1C" w:rsidRDefault="00A6230B" w:rsidP="001A5011">
      <w:pPr>
        <w:pStyle w:val="heading2"/>
        <w:numPr>
          <w:ilvl w:val="1"/>
          <w:numId w:val="7"/>
        </w:numPr>
        <w:spacing w:before="0"/>
      </w:pPr>
      <w:r w:rsidRPr="00092B1C">
        <w:t xml:space="preserve">Main </w:t>
      </w:r>
      <w:r w:rsidR="006B3A5A" w:rsidRPr="00092B1C">
        <w:t>Findings</w:t>
      </w:r>
    </w:p>
    <w:p w14:paraId="36C278FE" w14:textId="33F2EBC6" w:rsidR="004B44D7" w:rsidRPr="00092B1C" w:rsidRDefault="004B44D7" w:rsidP="001A5011">
      <w:pPr>
        <w:pStyle w:val="p1a"/>
        <w:rPr>
          <w:lang w:eastAsia="zh-CN"/>
        </w:rPr>
      </w:pPr>
      <w:r w:rsidRPr="004B44D7">
        <w:rPr>
          <w:lang w:eastAsia="zh-CN"/>
        </w:rPr>
        <w:t xml:space="preserve">This study develops a coordinated framework for emergency supply distribution and evacuation, applied to a hypothetical chlorine release at Beijing's Taihe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34D82398" w:rsidR="00A6230B" w:rsidRPr="00092B1C" w:rsidRDefault="00A6230B" w:rsidP="001A5011">
      <w:pPr>
        <w:pStyle w:val="heading2"/>
        <w:numPr>
          <w:ilvl w:val="1"/>
          <w:numId w:val="7"/>
        </w:numPr>
        <w:spacing w:before="160"/>
      </w:pPr>
      <w:r w:rsidRPr="00092B1C">
        <w:t xml:space="preserve">Policy </w:t>
      </w:r>
      <w:r w:rsidR="006B3A5A" w:rsidRPr="00092B1C">
        <w:t>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rsidRPr="00092B1C">
        <w:t>References</w:t>
      </w:r>
      <w:bookmarkEnd w:id="20"/>
      <w:bookmarkEnd w:id="21"/>
    </w:p>
    <w:p w14:paraId="4456E9D4" w14:textId="7E7EF6F1" w:rsidR="00A27D45" w:rsidRPr="00092B1C" w:rsidRDefault="00A27D45" w:rsidP="001A5011">
      <w:pPr>
        <w:pStyle w:val="referenceitem"/>
        <w:numPr>
          <w:ilvl w:val="0"/>
          <w:numId w:val="9"/>
        </w:numPr>
      </w:pPr>
      <w:r w:rsidRPr="00092B1C">
        <w:t xml:space="preserve">Farahani RZ, Lotfi MM, </w:t>
      </w:r>
      <w:proofErr w:type="spellStart"/>
      <w:r w:rsidRPr="00092B1C">
        <w:t>Baghaian</w:t>
      </w:r>
      <w:proofErr w:type="spellEnd"/>
      <w:r w:rsidRPr="00092B1C">
        <w:t xml:space="preserve"> A, Ruiz R, Rezapour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1A5011">
      <w:pPr>
        <w:pStyle w:val="referenceitem"/>
        <w:numPr>
          <w:ilvl w:val="0"/>
          <w:numId w:val="9"/>
        </w:numPr>
      </w:pPr>
      <w:r w:rsidRPr="00092B1C">
        <w:lastRenderedPageBreak/>
        <w:t xml:space="preserve">Özdamar L, Ertem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1A5011">
      <w:pPr>
        <w:pStyle w:val="referenceitem"/>
        <w:numPr>
          <w:ilvl w:val="0"/>
          <w:numId w:val="9"/>
        </w:numPr>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1A5011">
      <w:pPr>
        <w:pStyle w:val="referenceitem"/>
        <w:numPr>
          <w:ilvl w:val="0"/>
          <w:numId w:val="9"/>
        </w:numPr>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1A5011">
      <w:pPr>
        <w:pStyle w:val="referenceitem"/>
        <w:numPr>
          <w:ilvl w:val="0"/>
          <w:numId w:val="9"/>
        </w:numPr>
      </w:pPr>
      <w:r w:rsidRPr="00092B1C">
        <w:t xml:space="preserve">Agatz N, Bouman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1A5011">
      <w:pPr>
        <w:pStyle w:val="referenceitem"/>
        <w:numPr>
          <w:ilvl w:val="0"/>
          <w:numId w:val="9"/>
        </w:numPr>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1A5011">
      <w:pPr>
        <w:pStyle w:val="referenceitem"/>
        <w:numPr>
          <w:ilvl w:val="0"/>
          <w:numId w:val="9"/>
        </w:numPr>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1A5011">
      <w:pPr>
        <w:pStyle w:val="referenceitem"/>
        <w:numPr>
          <w:ilvl w:val="0"/>
          <w:numId w:val="9"/>
        </w:numPr>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1A5011">
      <w:pPr>
        <w:pStyle w:val="referenceitem"/>
        <w:numPr>
          <w:ilvl w:val="0"/>
          <w:numId w:val="9"/>
        </w:numPr>
      </w:pPr>
      <w:r w:rsidRPr="00092B1C">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1A5011">
      <w:pPr>
        <w:pStyle w:val="referenceitem"/>
        <w:numPr>
          <w:ilvl w:val="0"/>
          <w:numId w:val="9"/>
        </w:numPr>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1A5011">
      <w:pPr>
        <w:pStyle w:val="referenceitem"/>
        <w:numPr>
          <w:ilvl w:val="0"/>
          <w:numId w:val="9"/>
        </w:numPr>
      </w:pPr>
      <w:r w:rsidRPr="00092B1C">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rsidRPr="00092B1C">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