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39B13"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 w:val="36"/>
          <w:szCs w:val="40"/>
        </w:rPr>
      </w:pPr>
      <w:r>
        <w:rPr>
          <w:rFonts w:ascii="Times New Roman" w:eastAsia="仿宋" w:hAnsi="Times New Roman" w:cs="Times New Roman"/>
          <w:color w:val="3B5AA2"/>
          <w:sz w:val="36"/>
          <w:szCs w:val="40"/>
        </w:rPr>
        <w:t>城市快速路危险品车辆事故场景下的应急物资配送与多类型人员救援疏散协同优化研究——以北京六环路为例</w:t>
      </w:r>
    </w:p>
    <w:p w14:paraId="26B75EFD"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Cs w:val="32"/>
        </w:rPr>
      </w:pPr>
      <w:r>
        <w:rPr>
          <w:rFonts w:ascii="Times New Roman" w:eastAsia="仿宋" w:hAnsi="Times New Roman" w:cs="Times New Roman"/>
          <w:color w:val="3B5AA2"/>
          <w:szCs w:val="32"/>
        </w:rPr>
        <w:t>Coordinated Emergency Supply Distribution and Multi-Type Personnel Evacuation Optimization for Hazardous Material Incidents on Urban Expressways: A Case Study of the Beijing Sixth Ring Road</w:t>
      </w:r>
    </w:p>
    <w:p w14:paraId="63C3C87B" w14:textId="77777777" w:rsidR="00EB0048" w:rsidRDefault="00000000">
      <w:pPr>
        <w:pStyle w:val="Author"/>
        <w:rPr>
          <w:rFonts w:eastAsia="仿宋"/>
          <w:lang w:eastAsia="zh-CN"/>
        </w:rPr>
      </w:pPr>
      <w:r>
        <w:t>Liang Wang</w:t>
      </w:r>
      <w:r>
        <w:rPr>
          <w:rFonts w:eastAsia="仿宋"/>
          <w:color w:val="000000"/>
          <w:vertAlign w:val="superscript"/>
        </w:rPr>
        <w:t>1</w:t>
      </w:r>
      <w:r>
        <w:rPr>
          <w:rFonts w:eastAsia="仿宋"/>
          <w:color w:val="000000"/>
          <w:vertAlign w:val="superscript"/>
          <w:lang w:eastAsia="zh-CN"/>
        </w:rPr>
        <w:t xml:space="preserve">,2 </w:t>
      </w:r>
      <w:r>
        <w:rPr>
          <w:lang w:eastAsia="zh-CN"/>
        </w:rPr>
        <w:t xml:space="preserve"> </w:t>
      </w:r>
      <w:r>
        <w:t>Yu Guan</w:t>
      </w:r>
      <w:r>
        <w:rPr>
          <w:rFonts w:eastAsia="仿宋"/>
          <w:color w:val="000000"/>
          <w:vertAlign w:val="superscript"/>
          <w:lang w:eastAsia="zh-CN"/>
        </w:rPr>
        <w:t xml:space="preserve">2 </w:t>
      </w:r>
      <w:r>
        <w:rPr>
          <w:lang w:eastAsia="zh-CN"/>
        </w:rPr>
        <w:t xml:space="preserve"> He</w:t>
      </w:r>
      <w:r>
        <w:t xml:space="preserve"> </w:t>
      </w:r>
      <w:r>
        <w:rPr>
          <w:lang w:eastAsia="zh-CN"/>
        </w:rPr>
        <w:t>Wei</w:t>
      </w:r>
      <w:r>
        <w:rPr>
          <w:rFonts w:eastAsia="仿宋"/>
          <w:color w:val="000000"/>
          <w:vertAlign w:val="superscript"/>
          <w:lang w:eastAsia="zh-CN"/>
        </w:rPr>
        <w:t xml:space="preserve">2 </w:t>
      </w:r>
      <w:r>
        <w:rPr>
          <w:lang w:eastAsia="zh-CN"/>
        </w:rPr>
        <w:t xml:space="preserve"> </w:t>
      </w:r>
      <w:r>
        <w:t>Xiaodong Zhang</w:t>
      </w:r>
      <w:r>
        <w:rPr>
          <w:rFonts w:eastAsia="仿宋"/>
          <w:color w:val="000000"/>
          <w:vertAlign w:val="superscript"/>
          <w:lang w:eastAsia="zh-CN"/>
        </w:rPr>
        <w:t>2,*</w:t>
      </w:r>
    </w:p>
    <w:p w14:paraId="68EEF5D7" w14:textId="77777777" w:rsidR="00EB0048" w:rsidRDefault="00000000">
      <w:pPr>
        <w:pStyle w:val="Affiliation"/>
        <w:rPr>
          <w:lang w:eastAsia="zh-CN"/>
        </w:rPr>
      </w:pPr>
      <w:r>
        <w:rPr>
          <w:lang w:eastAsia="zh-CN"/>
        </w:rPr>
        <w:t>1 School of Economics and Management, Beijing Jiaotong University, Beijing, 100044, China.</w:t>
      </w:r>
    </w:p>
    <w:p w14:paraId="325A2D2C" w14:textId="77777777" w:rsidR="00EB0048" w:rsidRDefault="00000000">
      <w:pPr>
        <w:pStyle w:val="Affiliation"/>
        <w:rPr>
          <w:lang w:eastAsia="zh-CN"/>
        </w:rPr>
      </w:pPr>
      <w:r>
        <w:rPr>
          <w:lang w:eastAsia="zh-CN"/>
        </w:rPr>
        <w:t>2 Beijing Municipal Institute of City Planning and Design, Beijing, 100045, China.</w:t>
      </w:r>
    </w:p>
    <w:p w14:paraId="4883B252" w14:textId="77777777" w:rsidR="00EB0048" w:rsidRDefault="00000000">
      <w:pPr>
        <w:pStyle w:val="Affiliation"/>
        <w:rPr>
          <w:lang w:eastAsia="zh-CN"/>
        </w:rPr>
      </w:pPr>
      <w:r>
        <w:rPr>
          <w:lang w:eastAsia="zh-CN"/>
        </w:rPr>
        <w:t xml:space="preserve">Liang Wang : </w:t>
      </w:r>
      <w:hyperlink r:id="rId4" w:history="1">
        <w:r>
          <w:rPr>
            <w:rStyle w:val="a6"/>
            <w:lang w:eastAsia="zh-CN"/>
          </w:rPr>
          <w:t>wljean@126.com</w:t>
        </w:r>
      </w:hyperlink>
    </w:p>
    <w:p w14:paraId="7F5CDC9C" w14:textId="77777777" w:rsidR="00EB0048" w:rsidRDefault="00EB0048">
      <w:pPr>
        <w:autoSpaceDE w:val="0"/>
        <w:autoSpaceDN w:val="0"/>
        <w:adjustRightInd w:val="0"/>
        <w:snapToGrid w:val="0"/>
        <w:spacing w:line="360" w:lineRule="auto"/>
        <w:textAlignment w:val="center"/>
        <w:rPr>
          <w:rFonts w:ascii="Times New Roman" w:eastAsia="仿宋" w:hAnsi="Times New Roman" w:cs="Times New Roman"/>
          <w:color w:val="000000"/>
        </w:rPr>
      </w:pPr>
    </w:p>
    <w:p w14:paraId="7DC125B4" w14:textId="77777777" w:rsidR="00EB0048" w:rsidRDefault="00000000">
      <w:pPr>
        <w:pStyle w:val="Affiliation"/>
        <w:rPr>
          <w:lang w:eastAsia="zh-CN"/>
        </w:rPr>
      </w:pPr>
      <w:r>
        <w:rPr>
          <w:lang w:eastAsia="zh-CN"/>
        </w:rPr>
        <w:t>* Corresponding author: Xiaodong Zhang</w:t>
      </w:r>
      <w:hyperlink r:id="rId5" w:history="1">
        <w:r>
          <w:rPr>
            <w:rStyle w:val="a6"/>
            <w:lang w:eastAsia="zh-CN"/>
          </w:rPr>
          <w:t>(zhang-xd23@mails.tsinghua.edu.cn</w:t>
        </w:r>
      </w:hyperlink>
      <w:r>
        <w:rPr>
          <w:lang w:eastAsia="zh-CN"/>
        </w:rPr>
        <w:t>)</w:t>
      </w:r>
    </w:p>
    <w:p w14:paraId="4C30149D" w14:textId="77777777" w:rsidR="00EB0048" w:rsidRDefault="00EB0048">
      <w:pPr>
        <w:spacing w:before="200" w:after="100"/>
        <w:rPr>
          <w:rFonts w:ascii="Times New Roman" w:eastAsia="黑体" w:hAnsi="Times New Roman" w:cs="Times New Roman"/>
          <w:b/>
          <w:bCs/>
          <w:sz w:val="24"/>
          <w:szCs w:val="24"/>
        </w:rPr>
      </w:pPr>
    </w:p>
    <w:p w14:paraId="57739C84" w14:textId="77777777" w:rsidR="00EB0048" w:rsidRDefault="00000000">
      <w:pPr>
        <w:spacing w:before="200" w:after="100"/>
        <w:rPr>
          <w:rFonts w:ascii="Times New Roman" w:hAnsi="Times New Roman" w:cs="Times New Roman"/>
        </w:rPr>
      </w:pPr>
      <w:r>
        <w:rPr>
          <w:rFonts w:ascii="Times New Roman" w:eastAsia="黑体" w:hAnsi="Times New Roman" w:cs="Times New Roman"/>
          <w:b/>
          <w:bCs/>
          <w:sz w:val="24"/>
          <w:szCs w:val="24"/>
        </w:rPr>
        <w:t>摘要</w:t>
      </w:r>
    </w:p>
    <w:p w14:paraId="09485F7B" w14:textId="76C1A564" w:rsidR="00EB0048" w:rsidRDefault="00000000">
      <w:pPr>
        <w:spacing w:after="200" w:line="360" w:lineRule="auto"/>
        <w:rPr>
          <w:rFonts w:ascii="Times New Roman" w:eastAsia="仿宋" w:hAnsi="Times New Roman" w:cs="Times New Roman" w:hint="eastAsia"/>
          <w:color w:val="000000"/>
          <w:spacing w:val="-2"/>
          <w:w w:val="99"/>
          <w:sz w:val="24"/>
          <w:szCs w:val="20"/>
        </w:rPr>
      </w:pPr>
      <w:r>
        <w:rPr>
          <w:rFonts w:ascii="Times New Roman" w:eastAsia="仿宋" w:hAnsi="Times New Roman" w:cs="Times New Roman"/>
          <w:color w:val="000000"/>
          <w:spacing w:val="-2"/>
          <w:w w:val="99"/>
          <w:sz w:val="24"/>
          <w:szCs w:val="20"/>
        </w:rPr>
        <w:tab/>
        <w:t>城市快速路危险品运输车辆事故可引发有毒气体泄漏等复合型灾害，对公共安全构成严重威胁，亟需在严格时间约束下实现应急物资配送与人员疏散的协同优化。本研究以北京六环路太和桥立交附近的氯气泄漏事故为场景，构建了一体化的应急协同优化框架。首先，采用高斯烟羽模型模拟氯气扩散过程，基于ERPG毒性阈值划定三级危险区域。其次，在物资配送方面，构建</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供应点—中转站—需求点</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三层物流网络，设计货车—无人机协同配送机制，将物资划分为四个优先级类别并设置差异化时间窗约束；在人员疏散方面，建立基于ERPG分区的风险感知时间步进式调度模型，将受影响人口按脆弱性分为三类并按区域实施差异化响应（强制疏散或就地避难），协调救护车、直升机、公交车、私家车和地铁五种交通方式实施疏散。研究融合手机定位OD数据、POI数据库、七普人口年龄结构数据和OpenStreetMap路网等多源城市数据。数值实验表明：就地避难人口产生的物资需求使配送任务从40项增至70项，纯货车方案完成61项（Makespan 37.7 min），货车—无人机协同将接力配送任务从0项增至4项；基于ERPG分区的差异化策略将需疏散人口从23.5万缩减至1.38万，基准方案疏散率达40.1%，k=2类脆弱群体实现100%疏散；但k=1类重伤人员受限于救护车/直升机运力，疏散率仅2.8%，揭示了专用急救运力的瓶颈。韧性评估揭示了</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物资高韧性—疏散低韧性</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的不对称特征，为城市危险品事故应急管理提供了决策参考。</w:t>
      </w:r>
    </w:p>
    <w:p w14:paraId="388397E6" w14:textId="77777777" w:rsidR="00EB0048" w:rsidRDefault="00000000">
      <w:pPr>
        <w:spacing w:after="400" w:line="360" w:lineRule="auto"/>
        <w:rPr>
          <w:rFonts w:ascii="Times New Roman" w:eastAsia="仿宋" w:hAnsi="Times New Roman" w:cs="Times New Roman"/>
          <w:color w:val="000000"/>
          <w:spacing w:val="-2"/>
          <w:w w:val="99"/>
          <w:sz w:val="24"/>
          <w:szCs w:val="20"/>
        </w:rPr>
      </w:pPr>
      <w:r>
        <w:rPr>
          <w:rFonts w:ascii="Times New Roman" w:eastAsia="仿宋" w:hAnsi="Times New Roman" w:cs="Times New Roman"/>
          <w:b/>
          <w:bCs/>
          <w:color w:val="000000"/>
          <w:spacing w:val="-2"/>
          <w:w w:val="99"/>
          <w:sz w:val="24"/>
          <w:szCs w:val="20"/>
        </w:rPr>
        <w:t>关键词：</w:t>
      </w:r>
      <w:r>
        <w:rPr>
          <w:rFonts w:ascii="Times New Roman" w:eastAsia="仿宋" w:hAnsi="Times New Roman" w:cs="Times New Roman"/>
          <w:color w:val="000000"/>
          <w:spacing w:val="-2"/>
          <w:w w:val="99"/>
          <w:sz w:val="24"/>
          <w:szCs w:val="20"/>
        </w:rPr>
        <w:t>应急物流；货车—无人机协同；多类型疏散；危险品事故；城市快速路；交通</w:t>
        <w:lastRenderedPageBreak/>
        <w:t>韧性</w:t>
      </w:r>
    </w:p>
    <w:p w14:paraId="2E08486B" w14:textId="1A90ACEE" w:rsidR="00EB0048" w:rsidRPr="00DF7303" w:rsidRDefault="00000000" w:rsidP="00E40709">
      <w:pPr>
        <w:pStyle w:val="1"/>
        <w:keepNext/>
        <w:keepLines/>
        <w:widowControl w:val="0"/>
        <w:spacing w:before="340" w:after="330" w:line="360"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szCs w:val="24"/>
        </w:rPr>
        <w:t>1 引言</w:t>
      </w:r>
    </w:p>
    <w:p w14:paraId="7954DA0C" w14:textId="6DC46447" w:rsidR="00CE3F53" w:rsidRPr="00CE3F53" w:rsidRDefault="00CE3F53" w:rsidP="00CE3F53">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城市快速路在承载通勤与货运流量的同时也是危险品运输的主要通道，一旦发生事故，有毒气体泄漏、爆炸等后果可引发需多部门协同应对的复合型灾害</w:t>
        <w:fldChar w:fldCharType="begin"/>
        <w:instrText xml:space="preserve"> ADDIN EN.CITE &lt;EndNote&gt;&lt;Cite&gt;&lt;Author&gt;Farahani&lt;/Author&gt;&lt;Year&gt;2020&lt;/Year&gt;&lt;RecNum&gt;195&lt;/RecNum&gt;&lt;DisplayText&gt;&lt;style face="superscript"&gt;[1]&lt;/style&gt;&lt;/DisplayText&gt;&lt;record&gt;&lt;rec-number&gt;195&lt;/rec-number&gt;&lt;foreign-keys&gt;&lt;key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fldChar w:fldCharType="separate"/>
      </w:r>
      <w:r>
        <w:rPr>
          <w:rFonts w:ascii="Times New Roman" w:eastAsia="仿宋" w:hAnsi="Times New Roman" w:cs="Times New Roman"/>
          <w:noProof/>
          <w:sz w:val="24"/>
          <w:szCs w:val="24"/>
          <w:vertAlign w:val="superscript"/>
        </w:rPr>
        <w:t>[1]</w:t>
      </w:r>
      <w:r>
        <w:rPr>
          <w:rFonts w:ascii="Times New Roman" w:eastAsia="仿宋" w:hAnsi="Times New Roman" w:cs="Times New Roman"/>
          <w:sz w:val="24"/>
          <w:szCs w:val="24"/>
        </w:rPr>
        <w:fldChar w:fldCharType="end"/>
        <w:t>。近年来，国内已多次出现因危险品运输事故导致的大规模应急事件（如2005年京沪高速淮安段液氯运输车侧翻致29人死亡并疏散万余人、2020年温岭槽罐车爆炸致20人死亡），充分暴露了城市交通网络在此类场景下的脆弱性。北京六环路全长约188公里，沿线近年已发生多起危化品运输事故（涉及柴油、液化气等），其东南段太和桥区域人口密集、基础设施集中，属于高风险节点。如何在严格时间约束下实现应急物资配送与人员疏散的协同优化，是亟待解决的关键科学问题。</w:t>
      </w:r>
    </w:p>
    <w:p w14:paraId="297EC6F5" w14:textId="438C264F" w:rsidR="000465F0" w:rsidRPr="00CE3F53" w:rsidRDefault="00CE3F53" w:rsidP="00CE3F53">
      <w:pPr>
        <w:spacing w:beforeLines="50" w:before="120" w:after="100" w:line="360" w:lineRule="auto"/>
        <w:ind w:firstLineChars="200" w:firstLine="480"/>
        <w:rPr>
          <w:rFonts w:ascii="Times New Roman" w:eastAsia="仿宋" w:hAnsi="Times New Roman" w:cs="Times New Roman" w:hint="eastAsia"/>
          <w:sz w:val="24"/>
          <w:szCs w:val="24"/>
        </w:rPr>
      </w:pPr>
      <w:r>
        <w:rPr>
          <w:rFonts w:ascii="Times New Roman" w:eastAsia="仿宋" w:hAnsi="Times New Roman" w:cs="Times New Roman"/>
          <w:sz w:val="24"/>
          <w:szCs w:val="24"/>
        </w:rPr>
        <w:t>在应急物流领域，Özdamar和Ertem</w:t>
        <w:fldChar w:fldCharType="begin"/>
        <w:instrText xml:space="preserve"> ADDIN EN.CITE &lt;EndNote&gt;&lt;Cite&gt;&lt;Author&gt;Özdamar&lt;/Author&gt;&lt;Year&gt;2015&lt;/Year&gt;&lt;RecNum&gt;184&lt;/RecNum&gt;&lt;DisplayText&gt;&lt;style face="superscript"&gt;[2]&lt;/style&gt;&lt;/DisplayText&gt;&lt;record&gt;&lt;rec-number&gt;184&lt;/rec-number&gt;&lt;foreign-keys&gt;&lt;key app="EN" db-id="vvvrwwxsb0xrwnev9envf0rhd99dz0f9azad" timestamp="1775116205"&gt;184&lt;/key&gt;&lt;/foreign-keys&gt;&lt;ref-type name="Journal Article"&gt;17&lt;/ref-type&gt;&lt;contributors&gt;&lt;authors&gt;&lt;author&gt;Özdamar, Linet&lt;/author&gt;&lt;author&gt;Ertem, Mustafa Alp&lt;/author&gt;&lt;/authors&gt;&lt;/contributors&gt;&lt;titles&gt;&lt;title&gt;Models, solutions and enabling technologies in humanitarian logistics&lt;/title&gt;&lt;secondary-title&gt;European Journal of Operational Research&lt;/secondary-title&gt;&lt;/titles&gt;&lt;periodical&gt;&lt;full-title&gt;European Journal of Operational Research&lt;/full-title&gt;&lt;/periodical&gt;&lt;pages&gt;55-65&lt;/pages&gt;&lt;volume&gt;244&lt;/volume&gt;&lt;number&gt;1&lt;/number&gt;&lt;keywords&gt;&lt;keyword&gt;Humanitarian logistics&lt;/keyword&gt;&lt;keyword&gt;Modeling approaches&lt;/keyword&gt;&lt;keyword&gt;Information systems&lt;/keyword&gt;&lt;/keywords&gt;&lt;dates&gt;&lt;year&gt;2015&lt;/year&gt;&lt;pub-dates&gt;&lt;date&gt;2015/07/01/&lt;/date&gt;&lt;/pub-dates&gt;&lt;/dates&gt;&lt;isbn&gt;0377-2217&lt;/isbn&gt;&lt;urls&gt;&lt;related-urls&gt;&lt;url&gt;https://www.sciencedirect.com/science/article/pii/S0377221714009539&lt;/url&gt;&lt;/related-urls&gt;&lt;/urls&gt;&lt;electronic-resource-num&gt;/10.1016/j.ejor.2014.11.030&lt;/electronic-resource-num&gt;&lt;/record&gt;&lt;/Cite&gt;&lt;/EndNote&gt;</w:instrText>
        <w:fldChar w:fldCharType="separate"/>
      </w:r>
      <w:r>
        <w:rPr>
          <w:rFonts w:ascii="Times New Roman" w:eastAsia="仿宋" w:hAnsi="Times New Roman" w:cs="Times New Roman"/>
          <w:noProof/>
          <w:sz w:val="24"/>
          <w:szCs w:val="24"/>
          <w:vertAlign w:val="superscript"/>
        </w:rPr>
        <w:t>[2]</w:t>
      </w:r>
      <w:r>
        <w:rPr>
          <w:rFonts w:ascii="Times New Roman" w:eastAsia="仿宋" w:hAnsi="Times New Roman" w:cs="Times New Roman"/>
          <w:sz w:val="24"/>
          <w:szCs w:val="24"/>
        </w:rPr>
        <w:fldChar w:fldCharType="end"/>
        <w:t>系统综述了人道主义物流模型与求解技术，Farahani等</w:t>
        <w:fldChar w:fldCharType="begin"/>
        <w:instrText xml:space="preserve"> ADDIN EN.CITE &lt;EndNote&gt;&lt;Cite&gt;&lt;Author&gt;Farahani&lt;/Author&gt;&lt;Year&gt;2020&lt;/Year&gt;&lt;RecNum&gt;195&lt;/RecNum&gt;&lt;DisplayText&gt;&lt;style face="superscript"&gt;[1]&lt;/style&gt;&lt;/DisplayText&gt;&lt;record&gt;&lt;rec-number&gt;195&lt;/rec-number&gt;&lt;foreign-keys&gt;&lt;key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fldChar w:fldCharType="separate"/>
      </w:r>
      <w:r>
        <w:rPr>
          <w:rFonts w:ascii="Times New Roman" w:eastAsia="仿宋" w:hAnsi="Times New Roman" w:cs="Times New Roman"/>
          <w:noProof/>
          <w:sz w:val="24"/>
          <w:szCs w:val="24"/>
          <w:vertAlign w:val="superscript"/>
        </w:rPr>
        <w:t>[1]</w:t>
      </w:r>
      <w:r>
        <w:rPr>
          <w:rFonts w:ascii="Times New Roman" w:eastAsia="仿宋" w:hAnsi="Times New Roman" w:cs="Times New Roman"/>
          <w:sz w:val="24"/>
          <w:szCs w:val="24"/>
        </w:rPr>
        <w:fldChar w:fldCharType="end"/>
        <w:t xml:space="preserve"> 进一步总结了灾害响应网络设计的最新进展；Ke</w:t>
        <w:fldChar w:fldCharType="begin"/>
        <w:instrText xml:space="preserve"> ADDIN EN.CITE &lt;EndNote&gt;&lt;Cite&gt;&lt;Author&gt;Ke&lt;/Author&gt;&lt;Year&gt;2022&lt;/Year&gt;&lt;RecNum&gt;196&lt;/RecNum&gt;&lt;DisplayText&gt;&lt;style face="superscript"&gt;[3]&lt;/style&gt;&lt;/DisplayText&gt;&lt;record&gt;&lt;rec-number&gt;196&lt;/rec-number&gt;&lt;foreign-keys&gt;&lt;key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fldChar w:fldCharType="separate"/>
      </w:r>
      <w:r>
        <w:rPr>
          <w:rFonts w:ascii="Times New Roman" w:eastAsia="仿宋" w:hAnsi="Times New Roman" w:cs="Times New Roman"/>
          <w:noProof/>
          <w:sz w:val="24"/>
          <w:szCs w:val="24"/>
          <w:vertAlign w:val="superscript"/>
        </w:rPr>
        <w:t>[3]</w:t>
      </w:r>
      <w:r>
        <w:rPr>
          <w:rFonts w:ascii="Times New Roman" w:eastAsia="仿宋" w:hAnsi="Times New Roman" w:cs="Times New Roman"/>
          <w:sz w:val="24"/>
          <w:szCs w:val="24"/>
        </w:rPr>
        <w:fldChar w:fldCharType="end"/>
        <w:t>针对危险品应急物流提出了考虑需求不确定性和链路中断的两阶段鲁棒优化方法。在配送模式创新方面，Murray和Chu</w:t>
        <w:fldChar w:fldCharType="begin"/>
        <w:instrText xml:space="preserve"> ADDIN EN.CITE &lt;EndNote&gt;&lt;Cite&gt;&lt;Author&gt;Murray&lt;/Author&gt;&lt;Year&gt;2015&lt;/Year&gt;&lt;RecNum&gt;187&lt;/RecNum&gt;&lt;DisplayText&gt;&lt;style face="superscript"&gt;[4]&lt;/style&gt;&lt;/DisplayText&gt;&lt;record&gt;&lt;rec-number&gt;187&lt;/rec-number&gt;&lt;foreign-keys&gt;&lt;key app="EN" db-id="vvvrwwxsb0xrwnev9envf0rhd99dz0f9azad" timestamp="1775117054"&gt;187&lt;/key&gt;&lt;/foreign-keys&gt;&lt;ref-type name="Journal Article"&gt;17&lt;/ref-type&gt;&lt;contributors&gt;&lt;authors&gt;&lt;author&gt;Murray, Chase C.&lt;/author&gt;&lt;author&gt;Chu, Amanda G.&lt;/author&gt;&lt;/authors&gt;&lt;/contributors&gt;&lt;titles&gt;&lt;title&gt;The flying sidekick traveling salesman problem: Optimization of drone-assisted parcel delivery&lt;/title&gt;&lt;secondary-title&gt;Transportation Research Part C: Emerging Technologies&lt;/secondary-title&gt;&lt;/titles&gt;&lt;periodical&gt;&lt;full-title&gt;Transportation Research Part C: Emerging Technologies&lt;/full-title&gt;&lt;/periodical&gt;&lt;pages&gt;86-109&lt;/pages&gt;&lt;volume&gt;54&lt;/volume&gt;&lt;keywords&gt;&lt;keyword&gt;Unmanned aerial vehicle&lt;/keyword&gt;&lt;keyword&gt;Vehicle routing problem&lt;/keyword&gt;&lt;keyword&gt;Traveling salesman problem&lt;/keyword&gt;&lt;keyword&gt;Logistics&lt;/keyword&gt;&lt;keyword&gt;Integer programming&lt;/keyword&gt;&lt;keyword&gt;Heuristics&lt;/keyword&gt;&lt;/keywords&gt;&lt;dates&gt;&lt;year&gt;2015&lt;/year&gt;&lt;pub-dates&gt;&lt;date&gt;2015/05/01/&lt;/date&gt;&lt;/pub-dates&gt;&lt;/dates&gt;&lt;isbn&gt;0968-090X&lt;/isbn&gt;&lt;urls&gt;&lt;related-urls&gt;&lt;url&gt;https://www.sciencedirect.com/science/article/pii/S0968090X15000844&lt;/url&gt;&lt;/related-urls&gt;&lt;/urls&gt;&lt;electronic-resource-num&gt;https://doi.org/10.1016/j.trc.2015.03.005&lt;/electronic-resource-num&gt;&lt;/record&gt;&lt;/Cite&gt;&lt;/EndNote&gt;</w:instrText>
        <w:fldChar w:fldCharType="separate"/>
      </w:r>
      <w:r>
        <w:rPr>
          <w:rFonts w:ascii="Times New Roman" w:eastAsia="仿宋" w:hAnsi="Times New Roman" w:cs="Times New Roman"/>
          <w:noProof/>
          <w:sz w:val="24"/>
          <w:szCs w:val="24"/>
          <w:vertAlign w:val="superscript"/>
        </w:rPr>
        <w:t>[4]</w:t>
      </w:r>
      <w:r>
        <w:rPr>
          <w:rFonts w:ascii="Times New Roman" w:eastAsia="仿宋" w:hAnsi="Times New Roman" w:cs="Times New Roman"/>
          <w:sz w:val="24"/>
          <w:szCs w:val="24"/>
        </w:rPr>
        <w:fldChar w:fldCharType="end"/>
        <w:t>提出的飞行伴侣旅行商问题为货车—无人机协同奠定了理论基础，Agatz等</w:t>
        <w:fldChar w:fldCharType="begin"/>
        <w:instrText xml:space="preserve"> ADDIN EN.CITE &lt;EndNote&gt;&lt;Cite&gt;&lt;Author&gt;Agatz&lt;/Author&gt;&lt;Year&gt;2018&lt;/Year&gt;&lt;RecNum&gt;185&lt;/RecNum&gt;&lt;DisplayText&gt;&lt;style face="superscript"&gt;[5]&lt;/style&gt;&lt;/DisplayText&gt;&lt;record&gt;&lt;rec-number&gt;185&lt;/rec-number&gt;&lt;foreign-keys&gt;&lt;key app="EN" db-id="vvvrwwxsb0xrwnev9envf0rhd99dz0f9azad" timestamp="1775116428"&gt;185&lt;/key&gt;&lt;/foreign-keys&gt;&lt;ref-type name="Journal Article"&gt;17&lt;/ref-type&gt;&lt;contributors&gt;&lt;authors&gt;&lt;author&gt;Niels Agatz&lt;/author&gt;&lt;author&gt;Paul Bouman&lt;/author&gt;&lt;author&gt;Marie Schmidt&lt;/author&gt;&lt;/authors&gt;&lt;/contributors&gt;&lt;titles&gt;&lt;title&gt;Optimization Approaches for the Traveling Salesman Problem with Drone&lt;/title&gt;&lt;secondary-title&gt;Transportation Science&lt;/secondary-title&gt;&lt;/titles&gt;&lt;periodical&gt;&lt;full-title&gt;Transportation Science&lt;/full-title&gt;&lt;/periodical&gt;&lt;pages&gt;965–981&lt;/pages&gt;&lt;volume&gt;52&lt;/volume&gt;&lt;number&gt;4&lt;/number&gt;&lt;keywords&gt;&lt;keyword&gt;vehicle routing, traveling salesman problem, drones, delivery&lt;/keyword&gt;&lt;/keywords&gt;&lt;dates&gt;&lt;year&gt;2018&lt;/year&gt;&lt;/dates&gt;&lt;isbn&gt;1526-5447&lt;/isbn&gt;&lt;urls&gt;&lt;related-urls&gt;&lt;url&gt;https://doi.org/10.1287/trsc.2017.0791&lt;/url&gt;&lt;/related-urls&gt;&lt;/urls&gt;&lt;electronic-resource-num&gt;10.1287/trsc.2017.0791&lt;/electronic-resource-num&gt;&lt;/record&gt;&lt;/Cite&gt;&lt;/EndNote&gt;</w:instrText>
        <w:fldChar w:fldCharType="separate"/>
      </w:r>
      <w:r>
        <w:rPr>
          <w:rFonts w:ascii="Times New Roman" w:eastAsia="仿宋" w:hAnsi="Times New Roman" w:cs="Times New Roman"/>
          <w:noProof/>
          <w:sz w:val="24"/>
          <w:szCs w:val="24"/>
          <w:vertAlign w:val="superscript"/>
        </w:rPr>
        <w:t>[5]</w:t>
      </w:r>
      <w:r>
        <w:rPr>
          <w:rFonts w:ascii="Times New Roman" w:eastAsia="仿宋" w:hAnsi="Times New Roman" w:cs="Times New Roman"/>
          <w:sz w:val="24"/>
          <w:szCs w:val="24"/>
        </w:rPr>
        <w:fldChar w:fldCharType="end"/>
        <w:t>发展了精确算法和启发式求解方法；Chung等</w:t>
        <w:fldChar w:fldCharType="begin"/>
        <w:instrText xml:space="preserve"> ADDIN EN.CITE &lt;EndNote&gt;&lt;Cite&gt;&lt;Author&gt;Chung&lt;/Author&gt;&lt;Year&gt;2020&lt;/Year&gt;&lt;RecNum&gt;197&lt;/RecNum&gt;&lt;DisplayText&gt;&lt;style face="superscript"&gt;[6]&lt;/style&gt;&lt;/DisplayText&gt;&lt;record&gt;&lt;rec-number&gt;197&lt;/rec-number&gt;&lt;foreign-keys&gt;&lt;key app="EN" db-id="vvvrwwxsb0xrwnev9envf0rhd99dz0f9azad" timestamp="1775216563"&gt;197&lt;/key&gt;&lt;/foreign-keys&gt;&lt;ref-type name="Journal Article"&gt;17&lt;/ref-type&gt;&lt;contributors&gt;&lt;authors&gt;&lt;author&gt;Chung, Sung Hoon&lt;/author&gt;&lt;author&gt;Sah, Bhawesh&lt;/author&gt;&lt;author&gt;Lee, Jinkun&lt;/author&gt;&lt;/authors&gt;&lt;/contributors&gt;&lt;titles&gt;&lt;title&gt;Optimization for drone and drone-truck combined operations: A review of the state of the art and future directions&lt;/title&gt;&lt;secondary-title&gt;Computers &amp;amp; Operations Research&lt;/secondary-title&gt;&lt;/titles&gt;&lt;periodical&gt;&lt;full-title&gt;Computers &amp;amp; Operations Research&lt;/full-title&gt;&lt;/periodical&gt;&lt;pages&gt;105004&lt;/pages&gt;&lt;volume&gt;123&lt;/volume&gt;&lt;keywords&gt;&lt;keyword&gt;Drone&lt;/keyword&gt;&lt;keyword&gt;Drone-truck combined operations&lt;/keyword&gt;&lt;keyword&gt;Survey article&lt;/keyword&gt;&lt;keyword&gt;Unmanned aerial vehicle&lt;/keyword&gt;&lt;keyword&gt;Transportation planning&lt;/keyword&gt;&lt;keyword&gt;Optimization&lt;/keyword&gt;&lt;/keywords&gt;&lt;dates&gt;&lt;year&gt;2020&lt;/year&gt;&lt;pub-dates&gt;&lt;date&gt;2020/11/01/&lt;/date&gt;&lt;/pub-dates&gt;&lt;/dates&gt;&lt;isbn&gt;0305-0548&lt;/isbn&gt;&lt;urls&gt;&lt;related-urls&gt;&lt;url&gt;https://www.sciencedirect.com/science/article/pii/S0305054820301210&lt;/url&gt;&lt;/related-urls&gt;&lt;/urls&gt;&lt;electronic-resource-num&gt;https://doi.org/10.1016/j.cor.2020.105004&lt;/electronic-resource-num&gt;&lt;/record&gt;&lt;/Cite&gt;&lt;/EndNote&gt;</w:instrText>
        <w:fldChar w:fldCharType="separate"/>
      </w:r>
      <w:r>
        <w:rPr>
          <w:rFonts w:ascii="Times New Roman" w:eastAsia="仿宋" w:hAnsi="Times New Roman" w:cs="Times New Roman"/>
          <w:noProof/>
          <w:sz w:val="24"/>
          <w:szCs w:val="24"/>
          <w:vertAlign w:val="superscript"/>
        </w:rPr>
        <w:t>[6]</w:t>
      </w:r>
      <w:r>
        <w:rPr>
          <w:rFonts w:ascii="Times New Roman" w:eastAsia="仿宋" w:hAnsi="Times New Roman" w:cs="Times New Roman"/>
          <w:sz w:val="24"/>
          <w:szCs w:val="24"/>
        </w:rPr>
        <w:fldChar w:fldCharType="end"/>
        <w:t>和Li等</w:t>
        <w:fldChar w:fldCharType="begin"/>
        <w:instrText xml:space="preserve"> ADDIN EN.CITE &lt;EndNote&gt;&lt;Cite&gt;&lt;Author&gt;Li&lt;/Author&gt;&lt;Year&gt;2021&lt;/Year&gt;&lt;RecNum&gt;198&lt;/RecNum&gt;&lt;DisplayText&gt;&lt;style face="superscript"&gt;[7]&lt;/style&gt;&lt;/DisplayText&gt;&lt;record&gt;&lt;rec-number&gt;198&lt;/rec-number&gt;&lt;foreign-keys&gt;&lt;key app="EN" db-id="vvvrwwxsb0xrwnev9envf0rhd99dz0f9azad" timestamp="1775216604"&gt;198&lt;/key&gt;&lt;/foreign-keys&gt;&lt;ref-type name="Journal Article"&gt;17&lt;/ref-type&gt;&lt;contributors&gt;&lt;authors&gt;&lt;author&gt;Li, Hongqi&lt;/author&gt;&lt;author&gt;Chen, Jun&lt;/author&gt;&lt;author&gt;Wang, Feilong&lt;/author&gt;&lt;author&gt;Bai, Ming&lt;/author&gt;&lt;/authors&gt;&lt;/contributors&gt;&lt;titles&gt;&lt;title&gt;Ground-vehicle and unmanned-aerial-vehicle routing problems from two-echelon scheme perspective: A review&lt;/title&gt;&lt;secondary-title&gt;European Journal of Operational Research&lt;/secondary-title&gt;&lt;/titles&gt;&lt;periodical&gt;&lt;full-title&gt;European Journal of Operational Research&lt;/full-title&gt;&lt;/periodical&gt;&lt;pages&gt;1078-1095&lt;/pages&gt;&lt;volume&gt;294&lt;/volume&gt;&lt;number&gt;3&lt;/number&gt;&lt;keywords&gt;&lt;keyword&gt;Routing&lt;/keyword&gt;&lt;keyword&gt;Ground-vehicle and unmanned-aerial-vehicle&lt;/keyword&gt;&lt;keyword&gt;Two-echelon&lt;/keyword&gt;&lt;keyword&gt;Mobile satellite&lt;/keyword&gt;&lt;keyword&gt;Survey&lt;/keyword&gt;&lt;/keywords&gt;&lt;dates&gt;&lt;year&gt;2021&lt;/year&gt;&lt;pub-dates&gt;&lt;date&gt;2021/11/01/&lt;/date&gt;&lt;/pub-dates&gt;&lt;/dates&gt;&lt;isbn&gt;0377-2217&lt;/isbn&gt;&lt;urls&gt;&lt;related-urls&gt;&lt;url&gt;https://www.sciencedirect.com/science/article/pii/S0377221721001156&lt;/url&gt;&lt;/related-urls&gt;&lt;/urls&gt;&lt;electronic-resource-num&gt;https://doi.org/10.1016/j.ejor.2021.02.022&lt;/electronic-resource-num&gt;&lt;/record&gt;&lt;/Cite&gt;&lt;/EndNote&gt;</w:instrText>
        <w:fldChar w:fldCharType="separate"/>
      </w:r>
      <w:r>
        <w:rPr>
          <w:rFonts w:ascii="Times New Roman" w:eastAsia="仿宋" w:hAnsi="Times New Roman" w:cs="Times New Roman"/>
          <w:noProof/>
          <w:sz w:val="24"/>
          <w:szCs w:val="24"/>
          <w:vertAlign w:val="superscript"/>
        </w:rPr>
        <w:t>[7]</w:t>
      </w:r>
      <w:r>
        <w:rPr>
          <w:rFonts w:ascii="Times New Roman" w:eastAsia="仿宋" w:hAnsi="Times New Roman" w:cs="Times New Roman"/>
          <w:sz w:val="24"/>
          <w:szCs w:val="24"/>
        </w:rPr>
        <w:fldChar w:fldCharType="end"/>
        <w:t>分别对无人机协同配送问题进行了系统综述，指出该模式在路网受损的应急场景中具有独特优势；Zhang等</w:t>
        <w:fldChar w:fldCharType="begin"/>
        <w:instrText xml:space="preserve"> ADDIN EN.CITE &lt;EndNote&gt;&lt;Cite&gt;&lt;Author&gt;Zhang&lt;/Author&gt;&lt;Year&gt;2023&lt;/Year&gt;&lt;RecNum&gt;199&lt;/RecNum&gt;&lt;DisplayText&gt;&lt;style face="superscript"&gt;[8]&lt;/style&gt;&lt;/DisplayText&gt;&lt;record&gt;&lt;rec-number&gt;199&lt;/rec-number&gt;&lt;foreign-keys&gt;&lt;key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fldChar w:fldCharType="separate"/>
      </w:r>
      <w:r>
        <w:rPr>
          <w:rFonts w:ascii="Times New Roman" w:eastAsia="仿宋" w:hAnsi="Times New Roman" w:cs="Times New Roman"/>
          <w:noProof/>
          <w:sz w:val="24"/>
          <w:szCs w:val="24"/>
          <w:vertAlign w:val="superscript"/>
        </w:rPr>
        <w:t>[8]</w:t>
      </w:r>
      <w:r>
        <w:rPr>
          <w:rFonts w:ascii="Times New Roman" w:eastAsia="仿宋" w:hAnsi="Times New Roman" w:cs="Times New Roman"/>
          <w:sz w:val="24"/>
          <w:szCs w:val="24"/>
        </w:rPr>
        <w:fldChar w:fldCharType="end"/>
        <w:t>进一步将优先级机制引入灾害救援中的货车—无人机同步配送，为差异化时间窗约束下的应急物资调配提供了建模参考。在人员疏散方面，Hamacher和Tjandra</w:t>
        <w:fldChar w:fldCharType="begin"/>
        <w:instrText xml:space="preserve"> ADDIN EN.CITE &lt;EndNote&gt;&lt;Cite&gt;&lt;Author&gt;Hamacher&lt;/Author&gt;&lt;Year&gt;2002&lt;/Year&gt;&lt;RecNum&gt;188&lt;/RecNum&gt;&lt;DisplayText&gt;&lt;style face="superscript"&gt;[9]&lt;/style&gt;&lt;/DisplayText&gt;&lt;record&gt;&lt;rec-number&gt;188&lt;/rec-number&gt;&lt;foreign-keys&gt;&lt;key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fldChar w:fldCharType="separate"/>
      </w:r>
      <w:r>
        <w:rPr>
          <w:rFonts w:ascii="Times New Roman" w:eastAsia="仿宋" w:hAnsi="Times New Roman" w:cs="Times New Roman"/>
          <w:noProof/>
          <w:sz w:val="24"/>
          <w:szCs w:val="24"/>
          <w:vertAlign w:val="superscript"/>
        </w:rPr>
        <w:t>[9]</w:t>
      </w:r>
      <w:r>
        <w:rPr>
          <w:rFonts w:ascii="Times New Roman" w:eastAsia="仿宋" w:hAnsi="Times New Roman" w:cs="Times New Roman"/>
          <w:sz w:val="24"/>
          <w:szCs w:val="24"/>
        </w:rPr>
        <w:fldChar w:fldCharType="end"/>
        <w:t>将疏散问题形式化为网络流模型，Abdelgawad和Abdulhai</w:t>
        <w:fldChar w:fldCharType="begin"/>
        <w:instrText xml:space="preserve"> ADDIN EN.CITE &lt;EndNote&gt;&lt;Cite&gt;&lt;Author&gt;Abdelgawad&lt;/Author&gt;&lt;Year&gt;2010&lt;/Year&gt;&lt;RecNum&gt;200&lt;/RecNum&gt;&lt;DisplayText&gt;&lt;style face="superscript"&gt;[10]&lt;/style&gt;&lt;/DisplayText&gt;&lt;record&gt;&lt;rec-number&gt;200&lt;/rec-number&gt;&lt;foreign-keys&gt;&lt;key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fldChar w:fldCharType="separate"/>
      </w:r>
      <w:r>
        <w:rPr>
          <w:rFonts w:ascii="Times New Roman" w:eastAsia="仿宋" w:hAnsi="Times New Roman" w:cs="Times New Roman"/>
          <w:noProof/>
          <w:sz w:val="24"/>
          <w:szCs w:val="24"/>
          <w:vertAlign w:val="superscript"/>
        </w:rPr>
        <w:t>[10]</w:t>
      </w:r>
      <w:r>
        <w:rPr>
          <w:rFonts w:ascii="Times New Roman" w:eastAsia="仿宋" w:hAnsi="Times New Roman" w:cs="Times New Roman"/>
          <w:sz w:val="24"/>
          <w:szCs w:val="24"/>
        </w:rPr>
        <w:fldChar w:fldCharType="end"/>
        <w:t>提出了公共交通与私家车协同的多模式疏散框架，Yoon和Albert</w:t>
        <w:fldChar w:fldCharType="begin"/>
        <w:instrText xml:space="preserve"> ADDIN EN.CITE &lt;EndNote&gt;&lt;Cite&gt;&lt;Author&gt;Yoon&lt;/Author&gt;&lt;Year&gt;2021&lt;/Year&gt;&lt;RecNum&gt;201&lt;/RecNum&gt;&lt;DisplayText&gt;&lt;style face="superscript"&gt;[11]&lt;/style&gt;&lt;/DisplayText&gt;&lt;record&gt;&lt;rec-number&gt;201&lt;/rec-number&gt;&lt;foreign-keys&gt;&lt;key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fldChar w:fldCharType="separate"/>
      </w:r>
      <w:r>
        <w:rPr>
          <w:rFonts w:ascii="Times New Roman" w:eastAsia="仿宋" w:hAnsi="Times New Roman" w:cs="Times New Roman"/>
          <w:noProof/>
          <w:sz w:val="24"/>
          <w:szCs w:val="24"/>
          <w:vertAlign w:val="superscript"/>
        </w:rPr>
        <w:t>[11]</w:t>
      </w:r>
      <w:r>
        <w:rPr>
          <w:rFonts w:ascii="Times New Roman" w:eastAsia="仿宋" w:hAnsi="Times New Roman" w:cs="Times New Roman"/>
          <w:sz w:val="24"/>
          <w:szCs w:val="24"/>
        </w:rPr>
        <w:fldChar w:fldCharType="end"/>
        <w:t>建立了多类型车辆的动态应急调度策略。国内学者也做了相关探索：雷斌等</w:t>
        <w:fldChar w:fldCharType="begin"/>
      </w:r>
      <w:r>
        <w:rPr>
          <w:rFonts w:ascii="Times New Roman" w:eastAsia="仿宋" w:hAnsi="Times New Roman" w:cs="Times New Roman" w:hint="eastAsia"/>
          <w:sz w:val="24"/>
          <w:szCs w:val="24"/>
        </w:rPr>
        <w:instrText xml:space="preserve"> ADDIN EN.CITE &lt;EndNote&gt;&lt;Cite&gt;&lt;Author&gt;</w:instrText>
        <w:instrText>雷斌</w:instrText>
        <w:instrText>&lt;/Author&gt;&lt;Year&gt;2023&lt;/Year&gt;&lt;RecNum&gt;189&lt;/RecNum&gt;&lt;DisplayText&gt;&lt;style face="superscript"&gt;[12]&lt;/style&gt;&lt;/DisplayText&gt;&lt;record&gt;&lt;rec-number&gt;189&lt;/rec-number&gt;&lt;foreign-keys&gt;&lt;key app="EN" db-id="vvvrwwxsb0xrwnev9envf0rhd99dz0f9azad" timestamp="1775117335"&gt;189&lt;/key&gt;&lt;/foreign-keys&gt;&lt;ref-type name="Journal Article"&gt;17&lt;/ref-type&gt;&lt;contributors&gt;&lt;authors&gt;&lt;author&gt;</w:instrText>
        <w:instrText>雷斌</w:instrText>
        <w:instrText>&lt;/author&gt;&lt;author&gt;</w:instrText>
        <w:instrText>寻天祥</w:instrText>
        <w:instrText>&lt;/author&gt;&lt;author&gt;</w:instrText>
        <w:instrText>郝亚睿</w:instrText>
        <w:instrText>&lt;/author&gt;&lt;author&gt;</w:instrText>
        <w:instrText>卢剑鸿</w:instrText>
        <w:instrText>&lt;/author&gt;&lt;author&gt;</w:instrText>
        <w:instrText>刘可心</w:instrText>
        <w:instrText>&lt;/author&gt;&lt;author&gt;</w:instrText>
        <w:instrText>罗林林</w:instrText>
        <w:instrText>&lt;/author&gt;&lt;/authors&gt;&lt;/contributors&gt;&lt;auth-address&gt;</w:instrText>
        <w:instrText>西安建筑科技大学土木工程学院</w:instrText>
        <w:instrText>;</w:instrText>
        <w:instrText>山西铁道职业技术学院</w:instrText>
        <w:instrText>;</w:instrText>
        <w:instrText>西安市轨道交通集团有限公司</w:instrText>
        <w:instrText>;&lt;/auth-address&gt;&lt;titles&gt;&lt;title&gt;</w:instrText>
        <w:instrText>城市轨道交通突发事件下换乘站应急疏散路径优化研究</w:instrText>
        <w:instrText>&lt;/title&gt;&lt;secondary-title&gt;</w:instrText>
        <w:instrText>中国安全生产科学技术</w:instrText>
        <w:instrText>&lt;/secondary-title&gt;&lt;/titles&gt;&lt;periodical&gt;&lt;full-title&gt;</w:instrText>
        <w:instrText>中国安全生产科学技术</w:instrText>
        <w:instrText>&lt;/full-title&gt;&lt;/periodical&gt;&lt;pages&gt;186-193&lt;/pages&gt;&lt;volume&gt;19&lt;/volume&gt;&lt;number&gt;05&lt;/number&gt;&lt;keywords&gt;&lt;keyword&gt;</w:instrText>
        <w:instrText>城市轨道交通</w:instrText>
        <w:instrText>&lt;/keyword&gt;&lt;keyword&gt;</w:instrText>
        <w:instrText>应急疏散</w:instrText>
        <w:instrText>&lt;/keyword&gt;&lt;keyword&gt;</w:instrText>
        <w:instrText>引导人员位置</w:instrText>
        <w:instrText>&lt;/keyword&gt;&lt;keyword&gt;</w:instrText>
        <w:instrText>疏散路径</w:instrText>
        <w:instrText>&lt;/keyword&gt;&lt;keyword&gt;</w:instrText>
        <w:instrText>仿真模拟</w:instrText>
        <w:instrText>&lt;/keyword&gt;&lt;/keywords&gt;&lt;dates&gt;&lt;year&gt;2023&lt;/year&gt;&lt;/dates&gt;&lt;isbn&gt;1673-193X&lt;/isbn&gt;&lt;call-num&gt;11-533</w:instrText>
      </w:r>
      <w:r>
        <w:rPr>
          <w:rFonts w:ascii="Times New Roman" w:eastAsia="仿宋" w:hAnsi="Times New Roman" w:cs="Times New Roman"/>
          <w:sz w:val="24"/>
          <w:szCs w:val="24"/>
        </w:rPr>
        <w:instrText>5/TB&lt;/call-num&gt;&lt;urls&gt;&lt;/urls&gt;&lt;remote-database-provider&gt;Cnki&lt;/remote-database-provider&gt;&lt;/record&gt;&lt;/Cite&gt;&lt;/EndNote&gt;</w:instrText>
        <w:fldChar w:fldCharType="separate"/>
      </w:r>
      <w:r>
        <w:rPr>
          <w:rFonts w:ascii="Times New Roman" w:eastAsia="仿宋" w:hAnsi="Times New Roman" w:cs="Times New Roman"/>
          <w:noProof/>
          <w:sz w:val="24"/>
          <w:szCs w:val="24"/>
          <w:vertAlign w:val="superscript"/>
        </w:rPr>
        <w:t>[12]</w:t>
      </w:r>
      <w:r>
        <w:rPr>
          <w:rFonts w:ascii="Times New Roman" w:eastAsia="仿宋" w:hAnsi="Times New Roman" w:cs="Times New Roman"/>
          <w:sz w:val="24"/>
          <w:szCs w:val="24"/>
        </w:rPr>
        <w:fldChar w:fldCharType="end"/>
        <w:t>针对城市轨道交通提出应急疏散优化模型，杨扬等</w:t>
        <w:fldChar w:fldCharType="begin"/>
      </w:r>
      <w:r>
        <w:rPr>
          <w:rFonts w:ascii="Times New Roman" w:eastAsia="仿宋" w:hAnsi="Times New Roman" w:cs="Times New Roman" w:hint="eastAsia"/>
          <w:sz w:val="24"/>
          <w:szCs w:val="24"/>
        </w:rPr>
        <w:instrText xml:space="preserve"> ADDIN EN.CITE &lt;EndNote&gt;&lt;Cite&gt;&lt;Author&gt;</w:instrText>
        <w:instrText>杨扬</w:instrText>
        <w:instrText>&lt;/Author&gt;&lt;Year&gt;2026&lt;/Year&gt;&lt;RecNum&gt;190&lt;/RecNum&gt;&lt;DisplayText&gt;&lt;style face="superscript"&gt;[13]&lt;/style&gt;&lt;/DisplayText&gt;&lt;record&gt;&lt;rec-number&gt;190&lt;/rec-number&gt;&lt;foreign-keys&gt;&lt;key app="EN" db-id="vvvrwwxsb0xrwnev9envf0rhd99dz0f9azad" timestamp="1775118029"&gt;190&lt;/key&gt;&lt;/foreign-keys&gt;&lt;ref-type name="Journal Article"&gt;17&lt;/ref-type&gt;&lt;contributors&gt;&lt;authors&gt;&lt;author&gt;</w:instrText>
        <w:instrText>杨扬</w:instrText>
        <w:instrText>&lt;/author&gt;&lt;author&gt;</w:instrText>
        <w:instrText>陈君婷</w:instrText>
        <w:instrText>&lt;/author&gt;&lt;author&gt;</w:instrText>
        <w:instrText>姚恩建</w:instrText>
        <w:instrText>&lt;/author&gt;&lt;author&gt;</w:instrText>
        <w:instrText>刘冬梅</w:instrText>
        <w:instrText>&lt;/author&gt;&lt;/authors&gt;&lt;/contributors&gt;&lt;auth-address&gt;</w:instrText>
        <w:instrText>北京交通大学综合交通运输大数据应用技术交通运输行业重点实验室</w:instrText>
        <w:instrText>;</w:instrText>
        <w:instrText>北京交通大学交通运输学院</w:instrText>
        <w:instrText>;</w:instrText>
        <w:instrText>中路高科交通科技集团有限公司</w:instrText>
        <w:instrText>;&lt;/auth-address&gt;&lt;titles&gt;&lt;title&gt;</w:instrText>
        <w:instrText>时变需求下综合客运枢纽集群对外交通网络韧性评估方法</w:instrText>
        <w:instrText>&lt;/title&gt;&lt;secondary-title&gt;</w:instrText>
        <w:instrText>交通运输工程学报</w:instrText>
        <w:instrText>&lt;/secondary-title&gt;&lt;/titles&gt;&lt;periodical&gt;&lt;full-title&gt;</w:instrText>
        <w:instrText>交通运输工程学报</w:instrText>
        <w:instrText>&lt;/full-title&gt;&lt;/periodical&gt;&lt;pages&gt;155-169&lt;/pages&gt;&lt;volume&gt;26&lt;/volume&gt;&lt;number&gt;02&lt;/number&gt;&lt;keywords&gt;&lt;keyword&gt;</w:instrText>
        <w:instrText>交通网络</w:instrText>
        <w:instrText>&lt;/keyword&gt;&lt;keyword&gt;</w:instrText>
        <w:instrText>综合客运枢纽集群</w:instrText>
        <w:instrText>&lt;/keyword&gt;&lt;keyword&gt;</w:instrText>
        <w:instrText>韧性评估</w:instrText>
        <w:instrText>&lt;/keyword&gt;&lt;keyword&gt;</w:instrText>
        <w:instrText>客流需求</w:instrText>
        <w:instrText>&lt;/keyword&gt;&lt;keyword&gt;</w:instrText>
        <w:instrText>多模式交通流分配</w:instrText>
        <w:instrText>&lt;/keyword&gt;&lt;keyword&gt;</w:instrText>
        <w:instrText>京津冀城市群</w:instrText>
        <w:instrText>&lt;/keyword&gt;&lt;/keywords&gt;&lt;dates&gt;&lt;year&gt;2026&lt;/year&gt;&lt;/dates&gt;&lt;isbn&gt;1671-1637&lt;/isbn&gt;&lt;call-num&gt;6</w:instrText>
      </w:r>
      <w:r>
        <w:rPr>
          <w:rFonts w:ascii="Times New Roman" w:eastAsia="仿宋" w:hAnsi="Times New Roman" w:cs="Times New Roman"/>
          <w:sz w:val="24"/>
          <w:szCs w:val="24"/>
        </w:rPr>
        <w:instrText>1-1369/U&lt;/call-num&gt;&lt;urls&gt;&lt;related-urls&gt;&lt;url&gt;https://link.cnki.net/doi/10.19818/j.cnki.1671-1637.2026.148&lt;/url&gt;&lt;/related-urls&gt;&lt;/urls&gt;&lt;electronic-resource-num&gt;10.19818/j.cnki.1671-1637.2026.148&lt;/electronic-resource-num&gt;&lt;remote-database-provider&gt;Cnki&lt;/remote-database-provider&gt;&lt;/record&gt;&lt;/Cite&gt;&lt;/EndNote&gt;</w:instrText>
        <w:fldChar w:fldCharType="separate"/>
      </w:r>
      <w:r>
        <w:rPr>
          <w:rFonts w:ascii="Times New Roman" w:eastAsia="仿宋" w:hAnsi="Times New Roman" w:cs="Times New Roman"/>
          <w:noProof/>
          <w:sz w:val="24"/>
          <w:szCs w:val="24"/>
          <w:vertAlign w:val="superscript"/>
        </w:rPr>
        <w:t>[13]</w:t>
      </w:r>
      <w:r>
        <w:rPr>
          <w:rFonts w:ascii="Times New Roman" w:eastAsia="仿宋" w:hAnsi="Times New Roman" w:cs="Times New Roman"/>
          <w:sz w:val="24"/>
          <w:szCs w:val="24"/>
        </w:rPr>
        <w:fldChar w:fldCharType="end"/>
        <w:t>建立城市交通网络韧性评估方法，张毅等</w:t>
      </w:r>
      <w:r>
        <w:rPr>
          <w:rFonts w:ascii="Times New Roman" w:eastAsia="仿宋" w:hAnsi="Times New Roman" w:cs="Times New Roman" w:hint="eastAsia"/>
          <w:sz w:val="24"/>
          <w:szCs w:val="24"/>
        </w:rPr>
        <w:fldChar w:fldCharType="begin"/>
        <w:instrText xml:space="preserve"> ADDIN EN.CITE &lt;EndNote&gt;&lt;Cite&gt;&lt;Author&gt;</w:instrText>
        <w:instrText>张毅</w:instrText>
        <w:instrText>&lt;/Author&gt;&lt;Year&gt;2022&lt;/Year&gt;&lt;RecNum&gt;191&lt;/RecNum&gt;&lt;DisplayText&gt;&lt;style face="superscript"&gt;[14]&lt;/style&gt;&lt;/DisplayText&gt;&lt;record&gt;&lt;rec-number&gt;191&lt;/rec-number&gt;&lt;foreign-keys&gt;&lt;key app="EN" db-id="vvvrwwxsb0xrwnev9envf0rhd99dz0f9azad" timestamp="1775118205"&gt;191&lt;/key&gt;&lt;/foreign-keys&gt;&lt;ref-type name="Journal Article"&gt;17&lt;/ref-type&gt;&lt;contributors&gt;&lt;authors&gt;&lt;author&gt;</w:instrText>
        <w:instrText>张毅</w:instrText>
        <w:instrText>&lt;/author&gt;&lt;author&gt;</w:instrText>
        <w:instrText>裴华鑫</w:instrText>
        <w:instrText>&lt;/author&gt;&lt;author&gt;</w:instrText>
        <w:instrText>姚丹亚</w:instrText>
        <w:instrText>&lt;/author&gt;&lt;/authors&gt;&lt;/contributors&gt;&lt;titles&gt;&lt;title&gt;</w:instrText>
        <w:instrText>车路协同环境下车辆群体协同决策研究综述</w:instrText>
        <w:instrText>&lt;/title&gt;&lt;secondary-title&gt;</w:instrText>
        <w:instrText>交通运输工程学报</w:instrText>
        <w:instrText>&lt;/secondary-title&gt;&lt;/titles&gt;&lt;periodical&gt;&lt;full-title&gt;</w:instrText>
        <w:instrText>交通运输工程学报</w:instrText>
        <w:instrText>&lt;/full-title&gt;&lt;/periodical&gt;&lt;pages&gt;1&lt;/pages&gt;&lt;volume&gt;22&lt;/volume&gt;&lt;number&gt;3&lt;/number&gt;&lt;dates&gt;&lt;year&gt;2022&lt;/year&gt;&lt;pub-dates&gt;&lt;date&gt;2022-06-25&lt;/date&gt;&lt;/pub-dates&gt;&lt;/dates&gt;&lt;urls&gt;&lt;related-urls&gt;&lt;u</w:instrText>
      </w:r>
      <w:r>
        <w:rPr>
          <w:rFonts w:ascii="Times New Roman" w:eastAsia="仿宋" w:hAnsi="Times New Roman" w:cs="Times New Roman"/>
          <w:sz w:val="24"/>
          <w:szCs w:val="24"/>
        </w:rPr>
        <w:instrText>rl&gt;https://transport.chd.edu.cn/cn/article/id/5219fc5e-708e-49ab-9c3a-1ae65cd36c12&lt;/url&gt;&lt;/related-urls&gt;&lt;/urls&gt;&lt;electronic-resource-num&gt;10.19818/j.cnki.1671-1637.2022.03.001&lt;/electronic-resource-num&gt;&lt;/record&gt;&lt;/Cite&gt;&lt;/EndNote&gt;</w:instrText>
        <w:fldChar w:fldCharType="separate"/>
      </w:r>
      <w:r>
        <w:rPr>
          <w:rFonts w:ascii="Times New Roman" w:eastAsia="仿宋" w:hAnsi="Times New Roman" w:cs="Times New Roman"/>
          <w:noProof/>
          <w:sz w:val="24"/>
          <w:szCs w:val="24"/>
          <w:vertAlign w:val="superscript"/>
        </w:rPr>
        <w:t>[14]</w:t>
      </w:r>
      <w:r>
        <w:rPr>
          <w:rFonts w:ascii="Times New Roman" w:eastAsia="仿宋" w:hAnsi="Times New Roman" w:cs="Times New Roman"/>
          <w:sz w:val="24"/>
          <w:szCs w:val="24"/>
        </w:rPr>
        <w:fldChar w:fldCharType="end"/>
        <w:t>探索了车路协同应急管控。在危险区域评估方面，高斯烟羽模型因解析简洁、计算高效而被广泛用于快速风险评估</w:t>
        <w:fldChar w:fldCharType="begin"/>
        <w:instrText xml:space="preserve"> ADDIN EN.CITE &lt;EndNote&gt;&lt;Cite&gt;&lt;Author&gt;Pasquill&lt;/Author&gt;&lt;Year&gt;1974&lt;/Year&gt;&lt;RecNum&gt;192&lt;/RecNum&gt;&lt;DisplayText&gt;&lt;style face="superscript"&gt;[15]&lt;/style&gt;&lt;/DisplayText&gt;&lt;record&gt;&lt;rec-number&gt;192&lt;/rec-number&gt;&lt;foreign-keys&gt;&lt;key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fldChar w:fldCharType="separate"/>
      </w:r>
      <w:r>
        <w:rPr>
          <w:rFonts w:ascii="Times New Roman" w:eastAsia="仿宋" w:hAnsi="Times New Roman" w:cs="Times New Roman"/>
          <w:noProof/>
          <w:sz w:val="24"/>
          <w:szCs w:val="24"/>
          <w:vertAlign w:val="superscript"/>
        </w:rPr>
        <w:t>[15]</w:t>
      </w:r>
      <w:r>
        <w:rPr>
          <w:rFonts w:ascii="Times New Roman" w:eastAsia="仿宋" w:hAnsi="Times New Roman" w:cs="Times New Roman"/>
          <w:sz w:val="24"/>
          <w:szCs w:val="24"/>
        </w:rPr>
        <w:fldChar w:fldCharType="end"/>
        <w:t>，Pasquill-Gifford稳定度分类体系</w:t>
        <w:fldChar w:fldCharType="begin"/>
        <w:instrText xml:space="preserve"> ADDIN EN.CITE &lt;EndNote&gt;&lt;Cite&gt;&lt;Author&gt;Briggs&lt;/Author&gt;&lt;Year&gt;1973&lt;/Year&gt;&lt;RecNum&gt;193&lt;/RecNum&gt;&lt;DisplayText&gt;&lt;style face="superscript"&gt;[16]&lt;/style&gt;&lt;/DisplayText&gt;&lt;record&gt;&lt;rec-number&gt;193&lt;/rec-number&gt;&lt;foreign-keys&gt;&lt;key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fldChar w:fldCharType="separate"/>
      </w:r>
      <w:r>
        <w:rPr>
          <w:rFonts w:ascii="Times New Roman" w:eastAsia="仿宋" w:hAnsi="Times New Roman" w:cs="Times New Roman"/>
          <w:noProof/>
          <w:sz w:val="24"/>
          <w:szCs w:val="24"/>
          <w:vertAlign w:val="superscript"/>
        </w:rPr>
        <w:t>[16]</w:t>
      </w:r>
      <w:r>
        <w:rPr>
          <w:rFonts w:ascii="Times New Roman" w:eastAsia="仿宋" w:hAnsi="Times New Roman" w:cs="Times New Roman"/>
          <w:sz w:val="24"/>
          <w:szCs w:val="24"/>
        </w:rPr>
        <w:fldChar w:fldCharType="end"/>
        <w:t>和ERPG阈值体系</w:t>
        <w:fldChar w:fldCharType="begin"/>
        <w:instrText xml:space="preserve"> ADDIN EN.CITE &lt;EndNote&gt;&lt;Cite&gt;&lt;Author&gt;Craig&lt;/Author&gt;&lt;Year&gt;2000&lt;/Year&gt;&lt;RecNum&gt;194&lt;/RecNum&gt;&lt;DisplayText&gt;&lt;style face="superscript"&gt;[17]&lt;/style&gt;&lt;/DisplayText&gt;&lt;record&gt;&lt;rec-number&gt;194&lt;/rec-number&gt;&lt;foreign-keys&gt;&lt;key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fldChar w:fldCharType="separate"/>
      </w:r>
      <w:r>
        <w:rPr>
          <w:rFonts w:ascii="Times New Roman" w:eastAsia="仿宋" w:hAnsi="Times New Roman" w:cs="Times New Roman"/>
          <w:noProof/>
          <w:sz w:val="24"/>
          <w:szCs w:val="24"/>
          <w:vertAlign w:val="superscript"/>
        </w:rPr>
        <w:t>[17]</w:t>
      </w:r>
      <w:r>
        <w:rPr>
          <w:rFonts w:ascii="Times New Roman" w:eastAsia="仿宋" w:hAnsi="Times New Roman" w:cs="Times New Roman"/>
          <w:sz w:val="24"/>
          <w:szCs w:val="24"/>
        </w:rPr>
        <w:fldChar w:fldCharType="end"/>
        <w:t>分别为扩散参数估算和危险区域分级提供了实用框架。</w:t>
      </w:r>
    </w:p>
    <w:p w14:paraId="163658FF" w14:textId="61DB2BFE" w:rsidR="00EB0048" w:rsidRDefault="00CE3F53">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然而，现有研究大多将物资配送和人员疏散作为独立问题分别求解</w:t>
        <w:fldChar w:fldCharType="begin">
          <w:fldData xml:space="preserve">PEVuZE5vdGU+PENpdGU+PEF1dGhvcj5GYXJhaGFuaTwvQXV0aG9yPjxZZWFyPjIwMjA8L1llYXI+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</w:fldData>
        </w:fldChar>
        <w:instrText xml:space="preserve"> ADDIN EN.CITE </w:instrText>
        <w:fldChar w:fldCharType="begin">
          <w:fldData xml:space="preserve">PEVuZE5vdGU+PENpdGU+PEF1dGhvcj5GYXJhaGFuaTwvQXV0aG9yPjxZZWFyPjIwMjA8L1llYXI+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</w:fldData>
        </w:fldChar>
        <w:instrText xml:space="preserve"> ADDIN EN.CITE.DATA </w:instrText>
        <w:fldChar w:fldCharType="end"/>
        <w:fldChar w:fldCharType="separate"/>
      </w:r>
      <w:r>
        <w:rPr>
          <w:rFonts w:ascii="Times New Roman" w:eastAsia="仿宋" w:hAnsi="Times New Roman" w:cs="Times New Roman"/>
          <w:noProof/>
          <w:sz w:val="24"/>
          <w:szCs w:val="24"/>
          <w:vertAlign w:val="superscript"/>
        </w:rPr>
        <w:t>[1, 3]</w:t>
      </w:r>
      <w:r>
        <w:rPr>
          <w:rFonts w:ascii="Times New Roman" w:eastAsia="仿宋" w:hAnsi="Times New Roman" w:cs="Times New Roman"/>
          <w:sz w:val="24"/>
          <w:szCs w:val="24"/>
        </w:rPr>
        <w:fldChar w:fldCharType="end"/>
        <w:t>，忽视了二者在资源竞争、时间耦合和空间交互方面的关联效应。本研究以北京六环路太和桥区</w:t>
        <w:lastRenderedPageBreak/>
        <w:t>域氯气泄漏事故为场景，构建了同时优化应急物资配送与多类型人员疏散的协同框架，主要贡献包括：（1）在统一事故场景下实现物资配送（货车—无人机协同、四级优先级时间窗）和多类型人员疏散（五种交通方式、三类脆弱性分级）的联合优化；（2）融合手机定位OD数据、POI数据库、七普人口年龄结构和OpenStreetMap路网等多源城市数据构建高保真仿真环境；（3）开展涵盖高斯烟羽扩散模拟、风向敏感性分析和交通系统韧性评估的综合场景分析；（4）为应急管理部门在资源预置、车队配置和多模式协调策略等方面提供实践指导。</w:t>
      </w:r>
    </w:p>
    <w:p w14:paraId="6DCD9480" w14:textId="77B09F64" w:rsidR="00455831" w:rsidRPr="00455831" w:rsidRDefault="00455831">
      <w:pPr>
        <w:spacing w:beforeLines="50" w:before="120" w:after="100" w:line="360" w:lineRule="auto"/>
        <w:ind w:firstLineChars="200" w:firstLine="48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本文其余部分组织如下：第2章介绍研究区域、数据来源与处理方法，并概述研究框架；第3章建立事故场景模型、物资配送优化模型、人员疏散优化模型和韧性评估框架；第4章给出案例研究的数值实验结果；第5章进行综合讨论；第6章总结全文并提出政策建议。</w:t>
      </w:r>
    </w:p>
    <w:p w14:paraId="11644CE6"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hint="eastAsia"/>
          <w:color w:val="3B5AA2"/>
          <w:position w:val="16"/>
          <w:sz w:val="32"/>
          <w:szCs w:val="24"/>
        </w:rPr>
      </w:pPr>
      <w:r>
        <w:rPr>
          <w:rFonts w:ascii="Times New Roman" w:eastAsia="仿宋" w:hAnsi="Times New Roman" w:cs="Times New Roman"/>
          <w:color w:val="3B5AA2"/>
          <w:position w:val="16"/>
          <w:sz w:val="32"/>
          <w:szCs w:val="24"/>
        </w:rPr>
        <w:t>2 研究区域与数据</w:t>
      </w:r>
    </w:p>
    <w:p w14:paraId="4FE6D2F2"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color w:val="3B5AA2"/>
          <w:position w:val="16"/>
          <w:sz w:val="32"/>
        </w:rPr>
        <w:t>2.1 研究区域</w:t>
      </w:r>
    </w:p>
    <w:p w14:paraId="35C79715" w14:textId="77777777" w:rsidR="00B87214" w:rsidRPr="00B87214" w:rsidRDefault="00B87214" w:rsidP="00B87214">
      <w:pPr>
        <w:spacing w:beforeLines="50" w:before="120" w:after="100" w:line="360" w:lineRule="auto"/>
        <w:ind w:firstLineChars="200" w:firstLine="480"/>
        <w:jc w:val="left"/>
        <w:rPr>
          <w:rFonts w:ascii="Times New Roman" w:eastAsia="仿宋" w:hAnsi="Times New Roman" w:cs="Times New Roman"/>
          <w:sz w:val="24"/>
          <w:szCs w:val="24"/>
        </w:rPr>
      </w:pPr>
      <w:bookmarkStart w:id="0" w:name="OLE_LINK15"/>
      <w:bookmarkStart w:id="1" w:name="OLE_LINK16"/>
      <w:r>
        <w:rPr>
          <w:rFonts w:ascii="Times New Roman" w:eastAsia="仿宋" w:hAnsi="Times New Roman" w:cs="Times New Roman" w:hint="eastAsia"/>
          <w:sz w:val="24"/>
          <w:szCs w:val="24"/>
        </w:rPr>
        <w:t>北京六环路全长约188 km，是连接中心城区与外围新城的重要快速路环线，承担着大量的货运和通勤交通流量。由于六环路同时也是危险品运输车辆进出北京的主要通道，沿线2014—2026年间已发生多起涉及柴油、液化气等危化品的运输事故，使其成为城市交通安全管理中需重点关注的高风险走廊。</w:t>
      </w:r>
    </w:p>
    <w:p w14:paraId="44FBD97E" w14:textId="1E0DAC85" w:rsidR="00B87214" w:rsidRPr="00B87214" w:rsidRDefault="00B87214" w:rsidP="00B8721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本研究选取六环路东南段太和桥立交（116.494°E，39.736°N）作为假设事故中心点。该位置位于亦庄经济技术开发区北缘，具有以下典型性特征：（1）太和桥立交为六环路与多条城市干道的交汇节点，日常交通流量大，一旦发生事故极易引发大范围交通瘫痪；（2）周边分布有大量居住社区、工业园区以及学校、养老院等脆弱性敏感设施，受影响人口密度高；（3）区域内公共交通网络覆盖较为完善，包含亦庄线、亦庄T1线、8号线和10号线等地铁线路，为多模式应急疏散提供了可能性。</w:t>
      </w:r>
    </w:p>
    <w:p w14:paraId="65375B03" w14:textId="5F38593F" w:rsidR="00EB0048" w:rsidRPr="00B87214" w:rsidRDefault="00B87214">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研究范围以事故点为中心设置15 km半径缓冲区，并与亦庄控规界的15 km缓冲区取并集，最终形成总面积约707 km</w:t>
      </w:r>
      <w:r>
        <w:rPr>
          <w:rFonts w:ascii="Calibri" w:eastAsia="仿宋" w:hAnsi="Calibri" w:cs="Calibri"/>
          <w:sz w:val="24"/>
          <w:szCs w:val="24"/>
        </w:rPr>
        <w:t>²</w:t>
      </w:r>
      <w:r>
        <w:rPr>
          <w:rFonts w:ascii="Times New Roman" w:eastAsia="仿宋" w:hAnsi="Times New Roman" w:cs="Times New Roman" w:hint="eastAsia"/>
          <w:sz w:val="24"/>
          <w:szCs w:val="24"/>
        </w:rPr>
        <w:t>的研究区域。选取15 km作为缓冲半径的依据如下：（1）参照《危险化学品重大危险源监督管理暂行规定》和国内已有案例，氯气等</w:t>
        <w:lastRenderedPageBreak/>
        <w:t>有毒气体在典型气象条件下的最大影响距离一般不超过10 km，15 km可确保覆盖全部潜在影响范围；（2）该半径可覆盖事故点周边主要的医疗救治设施和应急物资储备站点，保证物流网络的完整性；（3）已有应急疏散研究表明，城市快速路事故的交通拥堵扩散效应通常在10—15 km范围内逐渐衰减。图1(a)展示了研究区域的空间范围、道路网络和应急设施分布。</w:t>
      </w:r>
    </w:p>
    <w:bookmarkEnd w:id="0"/>
    <w:bookmarkEnd w:id="1"/>
    <w:p w14:paraId="773F3EA5" w14:textId="61D1B498" w:rsidR="00EA74A7" w:rsidRDefault="006567F3"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450A146B" wp14:editId="0C96AD60">
            <wp:extent cx="5731510" cy="2567305"/>
            <wp:effectExtent l="0" t="0" r="0" b="0"/>
            <wp:docPr id="1922157812" name="图片 5" descr="图表, 散点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57812" name="图片 5" descr="图表, 散点图  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67305"/>
                    </a:xfrm>
                    <a:prstGeom prst="rect">
                      <a:avLst/>
                    </a:prstGeom>
                  </pic:spPr>
                </pic:pic>
              </a:graphicData>
            </a:graphic>
          </wp:inline>
        </w:drawing>
      </w:r>
    </w:p>
    <w:p w14:paraId="6761BF20" w14:textId="44ECB9E9" w:rsidR="00EB0048" w:rsidRDefault="00000000"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图1　研究区域与事故场景：(a)研究区域总览——道路网络与应急设施分布；(b)高斯烟羽模拟——氯气浓度等值线与ERPG危险区域。Fig.1 Study area and incident scenario.</w:t>
      </w:r>
    </w:p>
    <w:p w14:paraId="17AB7EC6"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2.2 数据来源</w:t>
      </w:r>
    </w:p>
    <w:p w14:paraId="415AC7F6" w14:textId="77777777" w:rsidR="009F0498" w:rsidRPr="009F0498" w:rsidRDefault="009F0498" w:rsidP="009F0498">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本研究融合七类多源城市数据构建高保真仿真环境，各数据集的来源、时间跨度、空间精度及关键属性如表1所示。</w:t>
      </w:r>
    </w:p>
    <w:p w14:paraId="78B6C7E5" w14:textId="2C6DA2A0" w:rsidR="00EB0048" w:rsidRPr="009F0498" w:rsidRDefault="00000000">
      <w:pPr>
        <w:spacing w:before="100" w:after="80"/>
        <w:jc w:val="center"/>
        <w:rPr>
          <w:rFonts w:ascii="Times New Roman" w:eastAsia="黑体" w:hAnsi="Times New Roman" w:cs="Times New Roman" w:hint="eastAsia"/>
          <w:b/>
          <w:bCs/>
        </w:rPr>
      </w:pPr>
      <w:r>
        <w:rPr>
          <w:rFonts w:ascii="Times New Roman" w:eastAsia="黑体" w:hAnsi="Times New Roman" w:cs="Times New Roman"/>
          <w:b/>
          <w:bCs/>
        </w:rPr>
        <w:t>表1 数据来源及描述</w:t>
      </w:r>
      <w:r>
        <w:rPr>
          <w:rFonts w:ascii="Times New Roman" w:eastAsia="黑体" w:hAnsi="Times New Roman" w:cs="Times New Roman" w:hint="eastAsia"/>
          <w:b/>
          <w:bCs/>
        </w:rPr>
        <w:t>/ Table 1  Summary of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3360"/>
      </w:tblGrid>
      <w:tr w:rsidR="00EB0048" w14:paraId="1C229361" w14:textId="77777777">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71FA58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数据类别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41E50A9"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来源</w:t>
            </w:r>
          </w:p>
        </w:tc>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A093FB6"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空间精度</w:t>
            </w:r>
          </w:p>
        </w:tc>
        <w:tc>
          <w:tcPr>
            <w:tcW w:w="33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FDDD434"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关键属性</w:t>
            </w:r>
          </w:p>
        </w:tc>
      </w:tr>
      <w:tr w:rsidR="00EB0048" w14:paraId="6D9D01CA"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57CA47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道路网络</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BE33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OpenStreetMap</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0D8557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路段级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653883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道路等级、限速、通行方向</w:t>
            </w:r>
          </w:p>
        </w:tc>
      </w:tr>
      <w:tr w:rsidR="00EB0048" w14:paraId="04E1E9CA"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5A867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兴趣点（POI）</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E636AA" w14:textId="42E02E61"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百度地图</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CBD5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点级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D01C7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类别、名称、WGS84坐标</w:t>
            </w:r>
          </w:p>
        </w:tc>
      </w:tr>
      <w:tr w:rsidR="00EB0048" w14:paraId="3D847706"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D29FF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人口时空分布</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4F65F8" w14:textId="78F1B6BA"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百度手机定位</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107C9D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2D702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逐小时OD流量、通勤模式</w:t>
            </w:r>
          </w:p>
        </w:tc>
      </w:tr>
      <w:tr w:rsidR="00EB0048" w14:paraId="2CFD3B8F"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D6E4D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地块级人口</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15E6C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百度LBS</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B42E52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5E4EA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常住人口数量</w:t>
            </w:r>
          </w:p>
        </w:tc>
      </w:tr>
      <w:tr w:rsidR="00EB0048" w14:paraId="18F47166"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9E2A85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年龄结构</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7606E0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第七次全国人口普查（2020年）</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9695E94" w14:textId="61EA7D04" w:rsidR="00EB0048" w:rsidRDefault="00000000">
            <w:pPr>
              <w:spacing w:before="40" w:after="40"/>
              <w:jc w:val="center"/>
              <w:rPr>
                <w:rFonts w:ascii="Times New Roman" w:hAnsi="Times New Roman" w:cs="Times New Roman" w:hint="eastAsia"/>
              </w:rPr>
            </w:pPr>
            <w:r>
              <w:rPr>
                <w:rFonts w:ascii="Times New Roman" w:hAnsi="Times New Roman" w:cs="Times New Roman"/>
                <w:sz w:val="20"/>
                <w:szCs w:val="20"/>
              </w:rPr>
              <w:t>区县级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A5E26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分5岁组的年龄—性别分布</w:t>
            </w:r>
          </w:p>
        </w:tc>
      </w:tr>
      <w:tr w:rsidR="00EB0048" w14:paraId="01D53D6E"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4AF151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通勤模式</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BC82429" w14:textId="3EFE12C3"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百度手机定位</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82023D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0AEA8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方式划分（驾车、地铁、公交等）</w:t>
            </w:r>
          </w:p>
        </w:tc>
      </w:tr>
      <w:tr w:rsidR="00EB0048" w14:paraId="498F0FFE"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A2516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行政边界</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195E8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规划管理部门</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4BE20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多边形</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C2A9B2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亦庄开发区控规界</w:t>
            </w:r>
          </w:p>
        </w:tc>
      </w:tr>
    </w:tbl>
    <w:p w14:paraId="307E81AF" w14:textId="2CBF6975" w:rsidR="009F0498" w:rsidRPr="009F0498" w:rsidRDefault="009F0498" w:rsidP="009F0498">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上述数据在空间覆盖范围、时间粒度和语义维度上具有互补性：OSM路网提供交通网络的拓扑结构与物理属性，POI数据提供应急设施的空间位置与功能类型，手机定位数据捕获人口时空分布与出行行为特征，人口普查数据提供年龄结构信息用于脆弱性分级，通勤数据用于估算区域内私家车可用比例。多源数据的融合使得本研究能够在统一的时空框架下同时支撑物资配送网络建模和人员疏散需求估算。</w:t>
      </w:r>
    </w:p>
    <w:p w14:paraId="10656189" w14:textId="1FB2FC1C"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2.3 数据处理</w:t>
      </w:r>
    </w:p>
    <w:p w14:paraId="1E574CCD"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数据处理流程分为坐标统一、空间裁剪、网络构建、人口分配和出行数据处理五个环节，下面分别阐述。</w:t>
      </w:r>
    </w:p>
    <w:p w14:paraId="162A0434"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2.3.1  坐标系统一与空间裁剪</w:t>
      </w:r>
    </w:p>
    <w:p w14:paraId="64F00D6A" w14:textId="3E08B479"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所有空间数据统一至WGS84地理坐标系（EPSG:4326），涉及投影计算时采用UTM 50N投影（EPSG:32650）。百度手机定位和POI数据原始坐标采用BD-09坐标系，需经两步转换：首先通过逆偏移将BD-09转换为GCJ-02坐标，再通过椭球参数迭代将GCJ-02还原为WGS84坐标。转换完成后，以研究区域边界为掩膜对各类空间数据进行裁剪，仅保留研究范围内的要素。</w:t>
      </w:r>
    </w:p>
    <w:p w14:paraId="683F8322"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2.3.2  道路网络构建</w:t>
      </w:r>
    </w:p>
    <w:p w14:paraId="67969135"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从OSM路网数据中提取研究范围内所有可通行机动车辆的道路路段，保留的道路功能等级包括高速公路(motorway)、快速路(trunk)、主干路(primary)、次干路(secondary)、支路(tertiary)及其匝道，以及住宅区道路(residential)和服务道路(service)等共14类。对OSM数据中限速值为零或缺失的路段，依据《城市道路工程设计规范》（CJJ 37—2012）按功能等级赋默认值：高速公路100 km/h、快速路80 km/h、主干路60 km/h、次干路50 km/h、支路40 km/h、住宅区道路30 km/h、服务道路20 km/h。通行能力参照《公路通行能力手册》(HCM)，按车道数和等级赋值。</w:t>
      </w:r>
    </w:p>
    <w:p w14:paraId="164D80A3"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lastRenderedPageBreak/>
        <w:t>以道路端点为节点、路段为边构建NetworkX有向图。单向道路仅保留正向边，双向道路同时添加正、反向边。每条边的属性包括路段长度（通过UTM投影后计算）、限速、自由流行程时间（路段长度/限速）和通行能力。构建完成后进行连通性检查，保留最大弱连通分量以确保路径可达性。处理后的道路网络包含26,699条路段，总长11,232.1 km。</w:t>
      </w:r>
    </w:p>
    <w:p w14:paraId="364CB3A6"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2.3.3  人口空间分配与脆弱性分级</w:t>
      </w:r>
    </w:p>
    <w:p w14:paraId="3794B741" w14:textId="452F3E24"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人口数据处理采用“自上而下”的空间分配策略：首先以百度LBS地块级常住人口数据提供各地块的人口总量，然后将第七次人口普查的区县级年龄结构比例向下分配至地块尺度。具体步骤为：（1）将地块级人口数据裁剪至研究范围；（2）通过空间连接（spatial join）判断每个地块所属区县；（3）根据该区县的普查数据计算儿童（0—14岁）、劳动力（15—59岁）和老年人（60岁及以上）占比；（4）将比例乘以地块总人口，得到各年龄组的空间分布。依据研究区域所涉大兴区和通州区的普查数据，老年人口占比约为15%，儿童占比约为12%。</w:t>
      </w:r>
    </w:p>
    <w:p w14:paraId="5F470B2F"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在此基础上，将受影响人口划分为三类脆弱性等级：第一类（k=1）为事故直接导致的重伤或中毒者，假设占受影响人口的2%；第二类（k=2）为老人、儿童及残障人士等脆弱群体，约占27%；第三类（k=3）为一般健康人员，占71%。该分类直接服务于后续疏散优化模型中的优先级调度。</w:t>
      </w:r>
    </w:p>
    <w:p w14:paraId="4384EA5B"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2.3.4  应急设施识别与分类</w:t>
      </w:r>
    </w:p>
    <w:p w14:paraId="5D1F8E8E"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基于POI数据筛选研究范围内的五类应急相关设施。医疗设施通过百度POI的医疗类别编码提取，进一步按名称关键词区分综合医院和专科医院，共计3,526处。消防站通过政府服务类POI筛选，共1,032个。潜在避难场所从体育场馆、公园和广场类POI中提取，并依据占地面积估算容纳能力，共13,524处。地铁站出入口从交通设施类POI筛选并匹配至已知线路的站点序列，共1,296个。此外提取学校、幼儿园和养老机构等脆弱性敏感设施5,898处，用于事故场景中受影响设施的统计分析。</w:t>
      </w:r>
    </w:p>
    <w:p w14:paraId="1EACD433" w14:textId="7B309584"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地铁网络数据来源于北京市地铁运营公司公开资料，包含亦庄线、亦庄T1线、8号线和10号线等线路的站点位置、线路走向和运营参数。</w:t>
      </w:r>
    </w:p>
    <w:p w14:paraId="6755709B"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lastRenderedPageBreak/>
        <w:t>2.3.5  出行数据处理</w:t>
      </w:r>
    </w:p>
    <w:p w14:paraId="53CDE078" w14:textId="7CD521DD" w:rsidR="006A5BF4" w:rsidRDefault="006A5BF4" w:rsidP="006A5BF4">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百度手机定位OD数据包含日尺度和小时尺度两种粒度。将百度手机定位数据进行坐标转换后，逐条判断起点或终点是否落入研究区域多边形内，保留至少有一端在研究范围内的记录。通勤数据采用相同策略处理。最终，研究范围内保留5,659万条日OD记录、6,909万条逐小时OD记录和311.8万条通勤流记录。通勤数据中的交通方式构成（驾车、地铁、公交、骑行、步行比例）用于估算疏散场景中私家车可用数量。</w:t>
      </w:r>
    </w:p>
    <w:p w14:paraId="2B96C962" w14:textId="77777777" w:rsidR="009B7346" w:rsidRPr="009B7346" w:rsidRDefault="009B7346" w:rsidP="009B7346">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2.4  研究框架</w:t>
      </w:r>
    </w:p>
    <w:p w14:paraId="52B888AC" w14:textId="6B0A2A56"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本研究构建“场景驱动—双链协同—韧性评估”三层研究框架（如图2技术路线图所示），在统一事故场景下实现应急物资配送与多类型人员疏散的联合优化。</w:t>
      </w:r>
    </w:p>
    <w:p w14:paraId="0C6000AF" w14:textId="77777777"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第一层（事故场景建模）：采用高斯烟羽模型模拟氯气泄漏的大气扩散过程，基于ERPG毒性阈值划分三级危险区域，结合距离准则定义道路封闭区和BPR拥堵区，生成受损路网和受影响人口分布，为后续优化模型提供统一的输入条件。</w:t>
      </w:r>
    </w:p>
    <w:p w14:paraId="5A06F704" w14:textId="4F70C1E6"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第二层（协同优化求解）：包含两条相互耦合的优化链路。物资配送链路（“向心流”）构建“供应点—中转站—需求点”三层物流网络，设计货车—无人机直送/接力两种模式，以最小化加权Makespan和时间窗惩罚为目标，采用优先级贪心构造加2-opt局部搜索求解。人员疏散链路（“离心流”）建立风险感知的时间步进式调度模型，协调救护车、直升机、公交车、私家车和地铁五种交通方式，以最小化加权疏散时间、动态风险暴露和未服务需求惩罚为目标。两条链路共享受损道路网络，在资源竞争、时间耦合和空间交互三个维度上相互关联。</w:t>
      </w:r>
    </w:p>
    <w:p w14:paraId="3D988501" w14:textId="1F33419F" w:rsidR="00BA69B8" w:rsidRDefault="009B7346" w:rsidP="006A5BF4">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第三层（韧性评估）：从结构韧性（路网损伤程度）、功能韧性（任务完成效率）和适应韧性（新技术改善能力）三个维度，综合评价交通系统在该复合灾害场景下的应急响应能力。</w:t>
      </w:r>
    </w:p>
    <w:p w14:paraId="09CEB3C8" w14:textId="571E040A" w:rsidR="00F6048F" w:rsidRDefault="004E57E6" w:rsidP="00F6048F">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lastRenderedPageBreak/>
        <w:drawing>
          <wp:inline distT="0" distB="0" distL="0" distR="0" wp14:anchorId="358DDD82" wp14:editId="34D8C673">
            <wp:extent cx="5731510" cy="2017395"/>
            <wp:effectExtent l="0" t="0" r="0" b="1905"/>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7"/>
                    <a:stretch>
                      <a:fillRect/>
                    </a:stretch>
                  </pic:blipFill>
                  <pic:spPr>
                    <a:xfrm>
                      <a:off x="0" y="0"/>
                      <a:ext cx="5731510" cy="2017395"/>
                    </a:xfrm>
                    <a:prstGeom prst="rect">
                      <a:avLst/>
                    </a:prstGeom>
                  </pic:spPr>
                </pic:pic>
              </a:graphicData>
            </a:graphic>
          </wp:inline>
        </w:drawing>
      </w:r>
    </w:p>
    <w:p w14:paraId="5809987D" w14:textId="67076C26" w:rsidR="00F6048F" w:rsidRPr="00F6048F" w:rsidRDefault="00F6048F" w:rsidP="00F6048F">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图</w:t>
      </w:r>
      <w:r>
        <w:rPr>
          <w:rFonts w:ascii="Times New Roman" w:eastAsia="仿宋" w:hAnsi="Times New Roman" w:cs="Times New Roman" w:hint="eastAsia"/>
          <w:sz w:val="24"/>
          <w:szCs w:val="24"/>
        </w:rPr>
        <w:t>2</w:t>
      </w:r>
      <w:r>
        <w:rPr>
          <w:rFonts w:ascii="Times New Roman" w:eastAsia="仿宋" w:hAnsi="Times New Roman" w:cs="Times New Roman"/>
          <w:sz w:val="24"/>
          <w:szCs w:val="24"/>
        </w:rPr>
        <w:t xml:space="preserve"> 应急协同响应技术路线：场景驱动—双链协同—韧性评估三层框架。</w:t>
      </w:r>
    </w:p>
    <w:p w14:paraId="38A8A972" w14:textId="2A6C190E" w:rsidR="00BA69B8" w:rsidRPr="006A5BF4" w:rsidRDefault="00F6048F" w:rsidP="00BA69B8">
      <w:pPr>
        <w:spacing w:beforeLines="50" w:before="120" w:after="100" w:line="360" w:lineRule="auto"/>
        <w:jc w:val="center"/>
        <w:rPr>
          <w:rFonts w:ascii="Times New Roman" w:eastAsia="仿宋" w:hAnsi="Times New Roman" w:cs="Times New Roman" w:hint="eastAsia"/>
          <w:sz w:val="24"/>
          <w:szCs w:val="24"/>
        </w:rPr>
      </w:pPr>
      <w:r>
        <w:rPr>
          <w:rFonts w:ascii="Times New Roman" w:eastAsia="仿宋" w:hAnsi="Times New Roman" w:cs="Times New Roman"/>
          <w:sz w:val="24"/>
          <w:szCs w:val="24"/>
        </w:rPr>
        <w:t>Fig.</w:t>
      </w:r>
      <w:r>
        <w:rPr>
          <w:rFonts w:ascii="Times New Roman" w:eastAsia="仿宋" w:hAnsi="Times New Roman" w:cs="Times New Roman" w:hint="eastAsia"/>
          <w:sz w:val="24"/>
          <w:szCs w:val="24"/>
        </w:rPr>
        <w:t>2</w:t>
      </w:r>
      <w:r>
        <w:rPr>
          <w:rFonts w:ascii="Times New Roman" w:eastAsia="仿宋" w:hAnsi="Times New Roman" w:cs="Times New Roman"/>
          <w:sz w:val="24"/>
          <w:szCs w:val="24"/>
        </w:rPr>
        <w:t xml:space="preserve"> Technical roadmap of the coordinated emergency response framework.</w:t>
      </w:r>
    </w:p>
    <w:p w14:paraId="1CEB1CEA" w14:textId="22550F05" w:rsidR="0074007C" w:rsidRPr="0074007C" w:rsidRDefault="00000000" w:rsidP="0074007C">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3</w:t>
      </w:r>
      <w:r>
        <w:rPr>
          <w:rFonts w:ascii="Times New Roman" w:eastAsia="仿宋" w:hAnsi="Times New Roman" w:cs="Times New Roman" w:hint="eastAsia"/>
          <w:color w:val="3B5AA2"/>
          <w:position w:val="16"/>
          <w:sz w:val="32"/>
          <w:szCs w:val="24"/>
        </w:rPr>
        <w:t xml:space="preserve">  方法论</w:t>
      </w:r>
    </w:p>
    <w:p w14:paraId="36643121" w14:textId="4F76C777" w:rsidR="00EB0048" w:rsidRPr="0074007C" w:rsidRDefault="0074007C" w:rsidP="0074007C">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3.1 事故场景建模</w:t>
      </w:r>
    </w:p>
    <w:p w14:paraId="3CBDA138" w14:textId="14282D04" w:rsidR="00EB0048" w:rsidRPr="0074007C" w:rsidRDefault="00000000"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3.1</w:t>
      </w:r>
      <w:r>
        <w:rPr>
          <w:rFonts w:ascii="Times New Roman" w:eastAsia="仿宋" w:hAnsi="Times New Roman" w:cs="Times New Roman" w:hint="eastAsia"/>
          <w:b/>
          <w:bCs/>
          <w:color w:val="3B5AA2"/>
          <w:sz w:val="28"/>
          <w:szCs w:val="21"/>
        </w:rPr>
        <w:t>.1</w:t>
      </w:r>
      <w:r>
        <w:rPr>
          <w:rFonts w:ascii="Times New Roman" w:eastAsia="仿宋" w:hAnsi="Times New Roman" w:cs="Times New Roman"/>
          <w:b/>
          <w:bCs/>
          <w:color w:val="3B5AA2"/>
          <w:sz w:val="28"/>
          <w:szCs w:val="21"/>
        </w:rPr>
        <w:t xml:space="preserve"> 高斯烟羽扩散模型</w:t>
      </w:r>
    </w:p>
    <w:p w14:paraId="655A6A2A" w14:textId="01217110" w:rsidR="00DF3152" w:rsidRPr="00DF3152" w:rsidRDefault="00DF3152" w:rsidP="00DF3152">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泄漏氯气的大气扩散采用高斯烟羽方程建模</w:t>
      </w:r>
      <w:r>
        <w:rPr>
          <w:rFonts w:ascii="Times New Roman" w:eastAsia="仿宋" w:hAnsi="Times New Roman" w:cs="Times New Roman"/>
          <w:sz w:val="24"/>
          <w:szCs w:val="24"/>
        </w:rPr>
        <w:fldChar w:fldCharType="begin"/>
        <w:instrText xml:space="preserve"> ADDIN EN.CITE &lt;EndNote&gt;&lt;Cite&gt;&lt;Author&gt;Pasquill&lt;/Author&gt;&lt;Year&gt;1974&lt;/Year&gt;&lt;RecNum&gt;192&lt;/RecNum&gt;&lt;DisplayText&gt;&lt;style face="superscript"&gt;[15]&lt;/style&gt;&lt;/DisplayText&gt;&lt;record&gt;&lt;rec-number&gt;192&lt;/rec-number&gt;&lt;foreign-keys&gt;&lt;key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fldChar w:fldCharType="separate"/>
      </w:r>
      <w:r>
        <w:rPr>
          <w:rFonts w:ascii="Times New Roman" w:eastAsia="仿宋" w:hAnsi="Times New Roman" w:cs="Times New Roman"/>
          <w:noProof/>
          <w:sz w:val="24"/>
          <w:szCs w:val="24"/>
          <w:vertAlign w:val="superscript"/>
        </w:rPr>
        <w:t>[15]</w:t>
      </w:r>
      <w:r>
        <w:rPr>
          <w:rFonts w:ascii="Times New Roman" w:eastAsia="仿宋" w:hAnsi="Times New Roman" w:cs="Times New Roman"/>
          <w:sz w:val="24"/>
          <w:szCs w:val="24"/>
        </w:rPr>
        <w:fldChar w:fldCharType="end"/>
      </w:r>
      <w:r>
        <w:rPr>
          <w:rFonts w:ascii="Times New Roman" w:eastAsia="仿宋" w:hAnsi="Times New Roman" w:cs="Times New Roman" w:hint="eastAsia"/>
          <w:sz w:val="24"/>
          <w:szCs w:val="24"/>
        </w:rPr>
        <w:t>。地面（z=0）处下风向距离x、横风向距离y处的浓度C(x,y)（mg/m</w:t>
      </w:r>
      <w:r>
        <w:rPr>
          <w:rFonts w:ascii="Calibri" w:eastAsia="仿宋" w:hAnsi="Calibri" w:cs="Calibri"/>
          <w:sz w:val="24"/>
          <w:szCs w:val="24"/>
        </w:rPr>
        <w:t>³</w:t>
      </w:r>
      <w:r>
        <w:rPr>
          <w:rFonts w:ascii="Times New Roman" w:eastAsia="仿宋" w:hAnsi="Times New Roman" w:cs="Times New Roman" w:hint="eastAsia"/>
          <w:sz w:val="24"/>
          <w:szCs w:val="24"/>
        </w:rPr>
        <w:t>）为：</w:t>
      </w:r>
    </w:p>
    <w:p w14:paraId="58A7C657" w14:textId="77777777" w:rsidR="00DF3152" w:rsidRPr="00DF3152" w:rsidRDefault="00DF3152" w:rsidP="00DF3152">
      <w:pPr>
        <w:spacing w:beforeLines="50" w:before="120" w:after="100" w:line="360" w:lineRule="auto"/>
        <w:ind w:firstLineChars="200" w:firstLine="480"/>
        <w:jc w:val="center"/>
        <w:rPr>
          <w:rFonts w:ascii="Times New Roman" w:eastAsia="仿宋" w:hAnsi="Times New Roman" w:cs="Times New Roman" w:hint="eastAsia"/>
          <w:sz w:val="24"/>
          <w:szCs w:val="24"/>
        </w:rPr>
      </w:pPr>
      <w:r>
        <w:rPr>
          <w:rFonts w:ascii="Times New Roman" w:eastAsia="仿宋" w:hAnsi="Times New Roman" w:cs="Times New Roman"/>
          <w:i/>
          <w:iCs/>
          <w:sz w:val="24"/>
          <w:szCs w:val="24"/>
        </w:rPr>
        <w:t>C(x,y) = Q/(2πuσyσz) · exp(−y²/2σy²) · [exp(−(z−H)²/2σz²) + exp(−(z+H)²/2σz²)]          (1)</w:t>
      </w:r>
    </w:p>
    <w:p>
      <w:pPr>
        <w:pStyle w:val="a"/>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其中Q为排放速率（mg/s），u为风速（m/s），H为有效释放高度（m），z为受体点高度（地面z=0时两项合并为2exp(−H²/2σz²)）。扩散系数采用Briggs城市条件经验公式</w:t>
      </w:r>
    </w:p>
    <w:p w14:paraId="3770E5D3" w14:textId="3075CB59" w:rsidR="00DF3152" w:rsidRPr="00DF3152" w:rsidRDefault="00DF3152" w:rsidP="00DF3152">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 xml:space="preserve">  </w:t>
      </w:r>
      <w:r>
        <w:rPr>
          <w:rFonts w:ascii="Times New Roman" w:eastAsia="仿宋" w:hAnsi="Times New Roman" w:cs="Times New Roman"/>
          <w:sz w:val="24"/>
          <w:szCs w:val="24"/>
        </w:rPr>
        <w:fldChar w:fldCharType="begin"/>
        <w:instrText xml:space="preserve"> ADDIN EN.CITE &lt;EndNote&gt;&lt;Cite&gt;&lt;Author&gt;Briggs&lt;/Author&gt;&lt;Year&gt;1973&lt;/Year&gt;&lt;RecNum&gt;193&lt;/RecNum&gt;&lt;DisplayText&gt;&lt;style face="superscript"&gt;[16]&lt;/style&gt;&lt;/DisplayText&gt;&lt;record&gt;&lt;rec-number&gt;193&lt;/rec-number&gt;&lt;foreign-keys&gt;&lt;key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fldChar w:fldCharType="separate"/>
      </w:r>
      <w:r>
        <w:rPr>
          <w:rFonts w:ascii="Times New Roman" w:eastAsia="仿宋" w:hAnsi="Times New Roman" w:cs="Times New Roman"/>
          <w:noProof/>
          <w:sz w:val="24"/>
          <w:szCs w:val="24"/>
          <w:vertAlign w:val="superscript"/>
        </w:rPr>
        <w:t>[16]</w:t>
      </w:r>
      <w:r>
        <w:rPr>
          <w:rFonts w:ascii="Times New Roman" w:eastAsia="仿宋" w:hAnsi="Times New Roman" w:cs="Times New Roman"/>
          <w:sz w:val="24"/>
          <w:szCs w:val="24"/>
        </w:rPr>
        <w:fldChar w:fldCharType="end"/>
      </w:r>
      <w:r>
        <w:rPr>
          <w:rFonts w:ascii="Times New Roman" w:eastAsia="仿宋" w:hAnsi="Times New Roman" w:cs="Times New Roman" w:hint="eastAsia"/>
          <w:sz w:val="24"/>
          <w:szCs w:val="24"/>
        </w:rPr>
        <w:t>，D级（中性）稳定度下：</w:t>
      </w:r>
    </w:p>
    <w:p w14:paraId="012DB0EA" w14:textId="77777777" w:rsidR="00DF3152" w:rsidRPr="00DF3152" w:rsidRDefault="00DF3152" w:rsidP="00DF3152">
      <w:pPr>
        <w:spacing w:beforeLines="50" w:before="120" w:after="100" w:line="360" w:lineRule="auto"/>
        <w:ind w:firstLineChars="200" w:firstLine="480"/>
        <w:jc w:val="center"/>
        <w:rPr>
          <w:rFonts w:ascii="Times New Roman" w:eastAsia="仿宋" w:hAnsi="Times New Roman" w:cs="Times New Roman" w:hint="eastAsia"/>
          <w:sz w:val="24"/>
          <w:szCs w:val="24"/>
        </w:rPr>
      </w:pPr>
      <w:r>
        <w:rPr>
          <w:rFonts w:ascii="Times New Roman" w:eastAsia="仿宋" w:hAnsi="Times New Roman" w:cs="Times New Roman"/>
          <w:i/>
          <w:iCs/>
          <w:sz w:val="24"/>
          <w:szCs w:val="24"/>
        </w:rPr>
        <w:t>σy = 0.11x/(1+0.0004x)¹·⁰⁵ ,   σz = 0.08x/(1+0.0015x)¹·⁰⁵          (2)</w:t>
      </w:r>
    </w:p>
    <w:p w14:paraId="51DEC034" w14:textId="0F44E534" w:rsidR="00EB0048" w:rsidRDefault="00DF3152" w:rsidP="003F1BA2">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计算时将网格点坐标旋转至风向坐标系后逐点求解。</w:t>
      </w:r>
      <w:r>
        <w:rPr>
          <w:rFonts w:ascii="Times New Roman" w:eastAsia="仿宋" w:hAnsi="Times New Roman" w:cs="Times New Roman"/>
          <w:sz w:val="24"/>
          <w:szCs w:val="24"/>
        </w:rPr>
        <w:t>事故场景参数配置如表2所示。</w:t>
      </w:r>
    </w:p>
    <w:p w14:paraId="69806314"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表2 事故场景参数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0048" w14:paraId="35F366DE" w14:textId="77777777">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D65EE7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参数</w:t>
            </w:r>
          </w:p>
        </w:tc>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A79991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设定值</w:t>
            </w:r>
          </w:p>
        </w:tc>
      </w:tr>
      <w:tr w:rsidR="00EB0048" w14:paraId="13DF9B51"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5BE261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事故位置</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AC9341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（116.494°E，39.736°N）</w:t>
            </w:r>
          </w:p>
        </w:tc>
      </w:tr>
      <w:tr w:rsidR="00EB0048" w14:paraId="5718B9AE"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45620C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泄漏气体</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35696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氯气（Cl₂）</w:t>
            </w:r>
          </w:p>
        </w:tc>
      </w:tr>
      <w:tr w:rsidR="00EB0048" w14:paraId="4211541D"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A98236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泄漏速率</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92DC1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 kg/min</w:t>
            </w:r>
          </w:p>
        </w:tc>
      </w:tr>
      <w:tr w:rsidR="00EB0048" w14:paraId="4E3BBB5B"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DD4B18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风速</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3AA7AF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 m/s</w:t>
            </w:r>
          </w:p>
        </w:tc>
      </w:tr>
      <w:tr w:rsidR="00EB0048" w14:paraId="74804EF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48F6E4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风向</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D87241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225°（西南风，气象学约定）</w:t>
            </w:r>
          </w:p>
        </w:tc>
      </w:tr>
      <w:tr w:rsidR="00EB0048" w14:paraId="00C567C8"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9620D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稳定度等级</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1B2BB3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D级（中性）</w:t>
            </w:r>
          </w:p>
        </w:tc>
      </w:tr>
      <w:tr w:rsidR="00EB0048" w14:paraId="6A2DDF9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2B109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有效释放高度</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F29304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2.0 m</w:t>
            </w:r>
          </w:p>
        </w:tc>
      </w:tr>
    </w:tbl>
    <w:p w14:paraId="06015FC6" w14:textId="77777777" w:rsidR="00CD5E8C" w:rsidRPr="0074007C" w:rsidRDefault="00CD5E8C"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3.1.2  ERPG危险区域分级</w:t>
      </w:r>
    </w:p>
    <w:p w14:paraId="7DC3E938" w14:textId="34D5BD9B" w:rsidR="00CD5E8C" w:rsidRPr="004C153D" w:rsidRDefault="00CD5E8C" w:rsidP="004C153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基于浓度阈值和距离两类标准划分危险区域。氯气的应急响应计划指南（ERPG）阈值体系</w:t>
      </w:r>
      <w:r>
        <w:rPr>
          <w:rFonts w:ascii="Times New Roman" w:eastAsia="仿宋" w:hAnsi="Times New Roman" w:cs="Times New Roman"/>
          <w:sz w:val="24"/>
          <w:szCs w:val="24"/>
        </w:rPr>
        <w:fldChar w:fldCharType="begin"/>
        <w:instrText xml:space="preserve"> ADDIN EN.CITE &lt;EndNote&gt;&lt;Cite&gt;&lt;Author&gt;Craig&lt;/Author&gt;&lt;Year&gt;2000&lt;/Year&gt;&lt;RecNum&gt;194&lt;/RecNum&gt;&lt;DisplayText&gt;&lt;style face="superscript"&gt;[17]&lt;/style&gt;&lt;/DisplayText&gt;&lt;record&gt;&lt;rec-number&gt;194&lt;/rec-number&gt;&lt;foreign-keys&gt;&lt;key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fldChar w:fldCharType="separate"/>
      </w:r>
      <w:r>
        <w:rPr>
          <w:rFonts w:ascii="Times New Roman" w:eastAsia="仿宋" w:hAnsi="Times New Roman" w:cs="Times New Roman"/>
          <w:noProof/>
          <w:sz w:val="24"/>
          <w:szCs w:val="24"/>
          <w:vertAlign w:val="superscript"/>
        </w:rPr>
        <w:t>[17]</w:t>
      </w:r>
      <w:r>
        <w:rPr>
          <w:rFonts w:ascii="Times New Roman" w:eastAsia="仿宋" w:hAnsi="Times New Roman" w:cs="Times New Roman"/>
          <w:sz w:val="24"/>
          <w:szCs w:val="24"/>
        </w:rPr>
        <w:fldChar w:fldCharType="end"/>
      </w:r>
      <w:r>
        <w:rPr>
          <w:rFonts w:ascii="Times New Roman" w:eastAsia="仿宋" w:hAnsi="Times New Roman" w:cs="Times New Roman" w:hint="eastAsia"/>
          <w:sz w:val="24"/>
          <w:szCs w:val="24"/>
        </w:rPr>
        <w:t>定义三级危险区域：核心危险区（ERPG-3，≥20 mg/m</w:t>
      </w:r>
      <w:r>
        <w:rPr>
          <w:rFonts w:ascii="Calibri" w:eastAsia="仿宋" w:hAnsi="Calibri" w:cs="Calibri"/>
          <w:sz w:val="24"/>
          <w:szCs w:val="24"/>
        </w:rPr>
        <w:t>³</w:t>
      </w:r>
      <w:r>
        <w:rPr>
          <w:rFonts w:ascii="Times New Roman" w:eastAsia="仿宋" w:hAnsi="Times New Roman" w:cs="Times New Roman" w:hint="eastAsia"/>
          <w:sz w:val="24"/>
          <w:szCs w:val="24"/>
        </w:rPr>
        <w:t>，可能危及生命，必须立即疏散）、警戒区（ERPG-2，≥3 mg/m</w:t>
      </w:r>
      <w:r>
        <w:rPr>
          <w:rFonts w:ascii="Calibri" w:eastAsia="仿宋" w:hAnsi="Calibri" w:cs="Calibri"/>
          <w:sz w:val="24"/>
          <w:szCs w:val="24"/>
        </w:rPr>
        <w:t>³</w:t>
      </w:r>
      <w:r>
        <w:rPr>
          <w:rFonts w:ascii="Times New Roman" w:eastAsia="仿宋" w:hAnsi="Times New Roman" w:cs="Times New Roman" w:hint="eastAsia"/>
          <w:sz w:val="24"/>
          <w:szCs w:val="24"/>
        </w:rPr>
        <w:t>，可能导致严重健康影响，建议紧急疏散）和影响区（ERPG-1，≥1 mg/m</w:t>
      </w:r>
      <w:r>
        <w:rPr>
          <w:rFonts w:ascii="Calibri" w:eastAsia="仿宋" w:hAnsi="Calibri" w:cs="Calibri"/>
          <w:sz w:val="24"/>
          <w:szCs w:val="24"/>
        </w:rPr>
        <w:t>³</w:t>
      </w:r>
      <w:r>
        <w:rPr>
          <w:rFonts w:ascii="Times New Roman" w:eastAsia="仿宋" w:hAnsi="Times New Roman" w:cs="Times New Roman" w:hint="eastAsia"/>
          <w:sz w:val="24"/>
          <w:szCs w:val="24"/>
        </w:rPr>
        <w:t>，可能引起轻微不适，建议就地避难）。</w:t>
      </w:r>
    </w:p>
    <w:p w14:paraId="5FD715AF" w14:textId="77777777" w:rsidR="00CD5E8C" w:rsidRPr="0074007C" w:rsidRDefault="00CD5E8C" w:rsidP="0074007C">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3.1.3  道路封闭与BPR拥堵效应</w:t>
      </w:r>
    </w:p>
    <w:p w14:paraId="5967BCA7" w14:textId="77777777" w:rsidR="00CD5E8C" w:rsidRPr="004C153D" w:rsidRDefault="00CD5E8C" w:rsidP="004C153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同时定义基于距离的操作区域：500 m道路封闭区、1 km核心封闭区、3 km拥堵区和5 km影响区。核心封闭区内的路段从路网图中移除；拥堵区内路段的行程时间按BPR（Bureau of Public Roads）函数上浮：</w:t>
      </w:r>
    </w:p>
    <w:p w14:paraId="7BBD49F3" w14:textId="77777777" w:rsidR="00CD5E8C" w:rsidRPr="004C153D" w:rsidRDefault="00CD5E8C" w:rsidP="008837BD">
      <w:pPr>
        <w:spacing w:beforeLines="50" w:before="120" w:after="100" w:line="360" w:lineRule="auto"/>
        <w:ind w:firstLineChars="200" w:firstLine="480"/>
        <w:jc w:val="center"/>
        <w:rPr>
          <w:rFonts w:ascii="Times New Roman" w:eastAsia="仿宋" w:hAnsi="Times New Roman" w:cs="Times New Roman" w:hint="eastAsia"/>
          <w:sz w:val="24"/>
          <w:szCs w:val="24"/>
        </w:rPr>
      </w:pPr>
      <w:r>
        <w:rPr>
          <w:rFonts w:ascii="Times New Roman" w:eastAsia="仿宋" w:hAnsi="Times New Roman" w:cs="Times New Roman"/>
          <w:sz w:val="24"/>
          <w:szCs w:val="24"/>
        </w:rPr>
        <w:t>t = t₀ · [1 + α(v/c)ᵝ]          (3)</w:t>
      </w:r>
    </w:p>
    <w:p w14:paraId="30E540C5" w14:textId="5F1EFCBC" w:rsidR="003F1BA2" w:rsidRPr="004C153D" w:rsidRDefault="00CD5E8C" w:rsidP="004C153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其中t</w:t>
      </w:r>
      <w:r>
        <w:rPr>
          <w:rFonts w:ascii="Times New Roman" w:eastAsia="仿宋" w:hAnsi="Times New Roman" w:cs="Times New Roman"/>
          <w:sz w:val="24"/>
          <w:szCs w:val="24"/>
        </w:rPr>
        <w:t>₀</w:t>
      </w:r>
      <w:r>
        <w:rPr>
          <w:rFonts w:ascii="Times New Roman" w:eastAsia="仿宋" w:hAnsi="Times New Roman" w:cs="Times New Roman" w:hint="eastAsia"/>
          <w:sz w:val="24"/>
          <w:szCs w:val="24"/>
        </w:rPr>
        <w:t>为自由流行程时间，v/c为流量容量比（本研究假设为0.8），α=0.15，β=4.0。距事故点越近，拥堵系数按线性插值进一步放大。</w:t>
      </w:r>
    </w:p>
    <w:p w14:paraId="2F45584A" w14:textId="77777777" w:rsidR="0074007C" w:rsidRPr="0074007C" w:rsidRDefault="0074007C" w:rsidP="0074007C">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3.2  应急物资配送优化模型</w:t>
      </w:r>
    </w:p>
    <w:p w14:paraId="1258E401" w14:textId="77777777" w:rsidR="0074007C" w:rsidRPr="0074007C" w:rsidRDefault="0074007C" w:rsidP="0074007C">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3.2.1  物流网络与物资分类</w:t>
      </w:r>
    </w:p>
    <w:p w14:paraId="772FBB06" w14:textId="77777777" w:rsidR="0074007C" w:rsidRPr="0074007C" w:rsidRDefault="0074007C" w:rsidP="00A028DB">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构建三层物流网络：供应点层（H）包含8个消防站（距事故点1—15 km、位于封闭区之外）和2个假设应急仓库；中转站层（I）包含5个大容量设施（距事故点2—6 km的体育场馆和公园），兼作无人机起降平台；需求点层（J）包含15个位置，包括事故核心区、四个隔离区边界点以及接收伤员物资的周边医院。</w:t>
      </w:r>
    </w:p>
    <w:p w14:paraId="7D26CC03" w14:textId="77777777" w:rsidR="0074007C" w:rsidRPr="0074007C" w:rsidRDefault="0074007C" w:rsidP="00A028DB">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需要指出的是，应急物资的服务对象并非待疏散居民，而是现场救援力量和就地</w:t>
        <w:lastRenderedPageBreak/>
        <w:t>待救的伤员。生命救援类物资主要配发给进入有毒烟羽区域实施搜救的消防和防化人员以及被困核心区暂无法转运的中毒伤员；医疗支援类物资配送至隔离区边界的现场分诊站和周边医院；防护设备类和基础保障类物资则服务于警戒区内的交通管控人员和就地避难居民。应急物资分为四个优先级类别，设置差异化时间窗约束（表3）。</w:t>
      </w:r>
    </w:p>
    <w:p w14:paraId="4D6768D3" w14:textId="6756973E" w:rsidR="00A028DB" w:rsidRDefault="00A028DB" w:rsidP="00A028DB">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hint="eastAsia"/>
          <w:b/>
          <w:bCs/>
        </w:rPr>
        <w:t>3</w:t>
      </w:r>
      <w:r>
        <w:rPr>
          <w:rFonts w:ascii="Times New Roman" w:eastAsia="黑体" w:hAnsi="Times New Roman" w:cs="Times New Roman"/>
          <w:b/>
          <w:bCs/>
        </w:rPr>
        <w:t xml:space="preserve"> 应急物资分类 / Table 3 Supply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200"/>
        <w:gridCol w:w="1200"/>
        <w:gridCol w:w="1200"/>
        <w:gridCol w:w="1860"/>
      </w:tblGrid>
      <w:tr w:rsidR="00A028DB" w14:paraId="5795D7C5" w14:textId="77777777" w:rsidTr="003767C6">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32D5194"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C9F55F5"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典型物资</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7B184E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时间窗</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0435C4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窗口类型</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33877B3"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每分钟惩罚</w:t>
            </w:r>
          </w:p>
        </w:tc>
        <w:tc>
          <w:tcPr>
            <w:tcW w:w="18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854C853"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单位重量(kg)</w:t>
            </w:r>
          </w:p>
        </w:tc>
      </w:tr>
      <w:tr w:rsidR="00A028DB" w14:paraId="765E6D92"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837337"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生命救援类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FE7C5DF"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防毒面具、氧气瓶、解毒剂</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9EBB07"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30分钟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79CC2A"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09A522F"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1,000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4F9045"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3.0</w:t>
            </w:r>
          </w:p>
        </w:tc>
      </w:tr>
      <w:tr w:rsidR="00A028DB" w14:paraId="07792CD2"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F9E82C9"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医疗支援类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F0C1F88"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担架、血浆、输液设备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F2254F6"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60分钟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3222FD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1914595"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500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274B1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8.0</w:t>
            </w:r>
          </w:p>
        </w:tc>
      </w:tr>
      <w:tr w:rsidR="00A028DB" w14:paraId="37DC09A4"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EB917E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防护设备类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DD5F74B"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防护服、隔离带、警示设备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47CC8F3"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120分钟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35B77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1CB477D"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E824D4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5.0</w:t>
            </w:r>
          </w:p>
        </w:tc>
      </w:tr>
      <w:tr w:rsidR="00A028DB" w14:paraId="31B031D3"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F6AB8CA"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基础保障类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3FD98E"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饮用水、食品、帐篷、照明</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889CA98"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240分钟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92DF0ED"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280876B"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D7ED1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15.0</w:t>
            </w:r>
          </w:p>
        </w:tc>
      </w:tr>
    </w:tbl>
    <w:p w14:paraId="3664B5E8"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3.2.2  货车—无人机协同机制</w:t>
      </w:r>
    </w:p>
    <w:p w14:paraId="50A362B8"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考虑两种配送模式：直送模式（货车从供应点直接运往需求点）和接力模式（货车将物资送至中转站，由无人机完成封闭区内的末端配送）。货车参数：载重2,000 kg，事故区域内均速40 km/h（受BPR拥堵函数影响），卸货时间5 min。无人机参数：最大航程15 km，载重上限25 kg，巡航速度60 km/h，中转站装载时间5 min。配送车队规模为货车20辆、无人机10架。</w:t>
      </w:r>
    </w:p>
    <w:p w14:paraId="270F0ABB"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3.2.3  目标函数与约束条件</w:t>
      </w:r>
    </w:p>
    <w:p w14:paraId="071B7244"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目标函数为最小化加权总和：</w:t>
      </w:r>
    </w:p>
    <w:p w14:paraId="42FB555F" w14:textId="77777777" w:rsidR="005E37C1" w:rsidRPr="005E37C1" w:rsidRDefault="005E37C1" w:rsidP="008837BD">
      <w:pPr>
        <w:spacing w:beforeLines="50" w:before="120" w:after="100" w:line="360" w:lineRule="auto"/>
        <w:ind w:firstLineChars="200" w:firstLine="480"/>
        <w:jc w:val="center"/>
        <w:rPr>
          <w:rFonts w:ascii="Times New Roman" w:eastAsia="仿宋" w:hAnsi="Times New Roman" w:cs="Times New Roman" w:hint="eastAsia"/>
          <w:sz w:val="24"/>
          <w:szCs w:val="24"/>
        </w:rPr>
      </w:pPr>
      <w:r>
        <w:rPr>
          <w:rFonts w:ascii="Times New Roman" w:eastAsia="仿宋" w:hAnsi="Times New Roman" w:cs="Times New Roman"/>
          <w:sz w:val="24"/>
          <w:szCs w:val="24"/>
        </w:rPr>
        <w:t>min Z = w₁·Makespan + w₂·∑penalty + w₃·∑unmet          (4)</w:t>
      </w:r>
    </w:p>
    <w:p w14:paraId="3F06FFF8"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其中Makespan为所有任务中最大完成时间，penalty为超出时间窗的惩罚成本之和，unmet为未满足需求的惩罚。权重设定为w</w:t>
      </w:r>
      <w:r>
        <w:rPr>
          <w:rFonts w:ascii="Times New Roman" w:eastAsia="仿宋" w:hAnsi="Times New Roman" w:cs="Times New Roman"/>
          <w:sz w:val="24"/>
          <w:szCs w:val="24"/>
        </w:rPr>
        <w:t>₁</w:t>
      </w:r>
      <w:r>
        <w:rPr>
          <w:rFonts w:ascii="Times New Roman" w:eastAsia="仿宋" w:hAnsi="Times New Roman" w:cs="Times New Roman" w:hint="eastAsia"/>
          <w:sz w:val="24"/>
          <w:szCs w:val="24"/>
        </w:rPr>
        <w:t>=1.0, w</w:t>
      </w:r>
      <w:r>
        <w:rPr>
          <w:rFonts w:ascii="Times New Roman" w:eastAsia="仿宋" w:hAnsi="Times New Roman" w:cs="Times New Roman"/>
          <w:sz w:val="24"/>
          <w:szCs w:val="24"/>
        </w:rPr>
        <w:t>₂</w:t>
      </w:r>
      <w:r>
        <w:rPr>
          <w:rFonts w:ascii="Times New Roman" w:eastAsia="仿宋" w:hAnsi="Times New Roman" w:cs="Times New Roman" w:hint="eastAsia"/>
          <w:sz w:val="24"/>
          <w:szCs w:val="24"/>
        </w:rPr>
        <w:t>=1.0, w</w:t>
      </w:r>
      <w:r>
        <w:rPr>
          <w:rFonts w:ascii="Times New Roman" w:eastAsia="仿宋" w:hAnsi="Times New Roman" w:cs="Times New Roman"/>
          <w:sz w:val="24"/>
          <w:szCs w:val="24"/>
        </w:rPr>
        <w:t>₃</w:t>
      </w:r>
      <w:r>
        <w:rPr>
          <w:rFonts w:ascii="Times New Roman" w:eastAsia="仿宋" w:hAnsi="Times New Roman" w:cs="Times New Roman" w:hint="eastAsia"/>
          <w:sz w:val="24"/>
          <w:szCs w:val="24"/>
        </w:rPr>
        <w:t>=10,000。约束条件包括：车辆载重约束、供应点库存约束、无人机航程约束以及时间窗约束（硬时间窗不可违反）。</w:t>
      </w:r>
    </w:p>
    <w:p w14:paraId="0A969A80"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lastRenderedPageBreak/>
        <w:t>3.2.4  求解算法</w:t>
      </w:r>
    </w:p>
    <w:p w14:paraId="4EB1C5F7"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采用两阶段求解方法。第一阶段为基于优先级的贪心构造：（1）将任务按优先级（生命救援类优先）和截止时间排序；（2）对每项任务，评估所有可行的车辆—路径组合（直送和接力两种模式），基于路网Dijkstra最短路径计算行程时间；（3）选择到达时间最早的组合方案；（4）更新车辆可用状态和供应点库存。第二阶段为2-opt局部搜索改进：对贪心构造的初始解进行邻域搜索，尝试交换同类型车辆间的任务分配，以降低目标函数值，最大迭代次数200次。</w:t>
      </w:r>
    </w:p>
    <w:p w14:paraId="150467AE" w14:textId="77777777" w:rsidR="005E37C1" w:rsidRPr="005E37C1" w:rsidRDefault="005E37C1" w:rsidP="005E37C1">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3.3  多类型人员疏散优化模型</w:t>
      </w:r>
    </w:p>
    <w:p w14:paraId="650A349B"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3.3.1  人口分类与交通方式配置</w:t>
      </w:r>
    </w:p>
    <w:p w14:paraId="53911991"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3 km拥堵区范围内的受影响人口按脆弱性和医疗需求分为三类优先级人群（表4）。</w:t>
      </w:r>
    </w:p>
    <w:p w14:paraId="7A9D6EEC" w14:textId="1F4907EA" w:rsidR="005E37C1" w:rsidRDefault="005E37C1" w:rsidP="005E37C1">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hint="eastAsia"/>
          <w:b/>
          <w:bCs/>
        </w:rPr>
        <w:t>4</w:t>
      </w:r>
      <w:r>
        <w:rPr>
          <w:rFonts w:ascii="Times New Roman" w:eastAsia="黑体" w:hAnsi="Times New Roman" w:cs="Times New Roman"/>
          <w:b/>
          <w:bCs/>
        </w:rPr>
        <w:t xml:space="preserve"> 疏散人口分类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1100"/>
        <w:gridCol w:w="2200"/>
        <w:gridCol w:w="2960"/>
      </w:tblGrid>
      <w:tr w:rsidR="005E37C1" w14:paraId="453313E0" w14:textId="77777777" w:rsidTr="003767C6">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4B53BAA"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类别(k)</w:t>
            </w:r>
          </w:p>
        </w:tc>
        <w:tc>
          <w:tcPr>
            <w:tcW w:w="2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7BE99D6"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人群描述</w:t>
            </w:r>
          </w:p>
        </w:tc>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6207F9C"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权重(ωk)</w:t>
            </w:r>
          </w:p>
        </w:tc>
        <w:tc>
          <w:tcPr>
            <w:tcW w:w="2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7CC477B"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目的地约束</w:t>
            </w:r>
          </w:p>
        </w:tc>
        <w:tc>
          <w:tcPr>
            <w:tcW w:w="29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2DF224A"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可用交通工具</w:t>
            </w:r>
          </w:p>
        </w:tc>
      </w:tr>
      <w:tr w:rsidR="005E37C1" w14:paraId="5C357988" w14:textId="77777777" w:rsidTr="003767C6">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38E4B8C"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k=1</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F51C2B"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重伤人员、气体中毒者</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465D17"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10</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86DE911"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必须送往医院</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B92DD02"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救护车、直升机</w:t>
            </w:r>
          </w:p>
        </w:tc>
      </w:tr>
      <w:tr w:rsidR="005E37C1" w14:paraId="0BCD91F4" w14:textId="77777777" w:rsidTr="003767C6">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A842E27"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k=2</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BEB362F"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老人、儿童、残障人士</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98A5C66"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5</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C079F28"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优先医院或庇护所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717CCD"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全部五种</w:t>
            </w:r>
          </w:p>
        </w:tc>
      </w:tr>
      <w:tr w:rsidR="005E37C1" w14:paraId="122B1CDF" w14:textId="77777777" w:rsidTr="003767C6">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64EA12"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k=3</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74A9BB"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一般健康人员</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A021B5"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1</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39EE21"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任意庇护所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B713C83"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公交、私家车、地铁</w:t>
            </w:r>
          </w:p>
        </w:tc>
      </w:tr>
    </w:tbl>
    <w:p w14:paraId="76966568"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疏散交通工具配置如表5所示。</w:t>
      </w:r>
    </w:p>
    <w:p w14:paraId="67E6A387" w14:textId="77777777" w:rsidR="005E37C1" w:rsidRDefault="005E37C1" w:rsidP="005E37C1">
      <w:pPr>
        <w:spacing w:before="240" w:after="120" w:line="360" w:lineRule="auto"/>
        <w:jc w:val="center"/>
      </w:pPr>
      <w:r>
        <w:rPr>
          <w:rFonts w:hint="eastAsia"/>
          <w:b/>
          <w:bCs/>
        </w:rPr>
        <w:t>表5  疏散交通工具配置 / Table 5  Vehicle fleet configuration</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1300"/>
        <w:gridCol w:w="1200"/>
        <w:gridCol w:w="1200"/>
        <w:gridCol w:w="3126"/>
      </w:tblGrid>
      <w:tr w:rsidR="005E37C1" w14:paraId="0DD6F7C7" w14:textId="77777777" w:rsidTr="005E37C1">
        <w:tc>
          <w:tcPr>
            <w:tcW w:w="10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61C5E8B" w14:textId="77777777" w:rsidR="005E37C1" w:rsidRDefault="005E37C1">
            <w:pPr>
              <w:spacing w:line="273" w:lineRule="auto"/>
              <w:jc w:val="center"/>
              <w:rPr>
                <w:rFonts w:cs="Times New Roman" w:hint="eastAsia"/>
              </w:rPr>
            </w:pPr>
            <w:r>
              <w:rPr>
                <w:rFonts w:cs="Times New Roman" w:hint="eastAsia"/>
                <w:b/>
                <w:bCs/>
                <w:sz w:val="18"/>
                <w:szCs w:val="18"/>
              </w:rPr>
              <w:t>工具</w:t>
            </w:r>
          </w:p>
        </w:tc>
        <w:tc>
          <w:tcPr>
            <w:tcW w:w="12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5963AE92" w14:textId="77777777" w:rsidR="005E37C1" w:rsidRDefault="005E37C1">
            <w:pPr>
              <w:spacing w:line="273" w:lineRule="auto"/>
              <w:jc w:val="center"/>
              <w:rPr>
                <w:rFonts w:cs="Times New Roman" w:hint="eastAsia"/>
              </w:rPr>
            </w:pPr>
            <w:r>
              <w:rPr>
                <w:rFonts w:cs="Times New Roman" w:hint="eastAsia"/>
                <w:b/>
                <w:bCs/>
                <w:sz w:val="18"/>
                <w:szCs w:val="18"/>
              </w:rPr>
              <w:t>容量(人)</w:t>
            </w:r>
          </w:p>
        </w:tc>
        <w:tc>
          <w:tcPr>
            <w:tcW w:w="13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02CFA18" w14:textId="77777777" w:rsidR="005E37C1" w:rsidRDefault="005E37C1">
            <w:pPr>
              <w:spacing w:line="273" w:lineRule="auto"/>
              <w:jc w:val="center"/>
              <w:rPr>
                <w:rFonts w:cs="Times New Roman" w:hint="eastAsia"/>
              </w:rPr>
            </w:pPr>
            <w:r>
              <w:rPr>
                <w:rFonts w:cs="Times New Roman" w:hint="eastAsia"/>
                <w:b/>
                <w:bCs/>
                <w:sz w:val="18"/>
                <w:szCs w:val="18"/>
              </w:rPr>
              <w:t>速度(km/h)</w:t>
            </w:r>
          </w:p>
        </w:tc>
        <w:tc>
          <w:tcPr>
            <w:tcW w:w="12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8834981" w14:textId="77777777" w:rsidR="005E37C1" w:rsidRDefault="005E37C1">
            <w:pPr>
              <w:spacing w:line="273" w:lineRule="auto"/>
              <w:jc w:val="center"/>
              <w:rPr>
                <w:rFonts w:cs="Times New Roman" w:hint="eastAsia"/>
              </w:rPr>
            </w:pPr>
            <w:r>
              <w:rPr>
                <w:rFonts w:cs="Times New Roman" w:hint="eastAsia"/>
                <w:b/>
                <w:bCs/>
                <w:sz w:val="18"/>
                <w:szCs w:val="18"/>
              </w:rPr>
              <w:t>车队规模</w:t>
            </w:r>
          </w:p>
        </w:tc>
        <w:tc>
          <w:tcPr>
            <w:tcW w:w="12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FA7AB16" w14:textId="77777777" w:rsidR="005E37C1" w:rsidRDefault="005E37C1">
            <w:pPr>
              <w:spacing w:line="273" w:lineRule="auto"/>
              <w:jc w:val="center"/>
              <w:rPr>
                <w:rFonts w:cs="Times New Roman" w:hint="eastAsia"/>
              </w:rPr>
            </w:pPr>
            <w:r>
              <w:rPr>
                <w:rFonts w:cs="Times New Roman" w:hint="eastAsia"/>
                <w:b/>
                <w:bCs/>
                <w:sz w:val="18"/>
                <w:szCs w:val="18"/>
              </w:rPr>
              <w:t>服务人群</w:t>
            </w:r>
          </w:p>
        </w:tc>
        <w:tc>
          <w:tcPr>
            <w:tcW w:w="31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7E5B40EE" w14:textId="77777777" w:rsidR="005E37C1" w:rsidRDefault="005E37C1">
            <w:pPr>
              <w:spacing w:line="273" w:lineRule="auto"/>
              <w:jc w:val="center"/>
              <w:rPr>
                <w:rFonts w:cs="Times New Roman" w:hint="eastAsia"/>
              </w:rPr>
            </w:pPr>
            <w:r>
              <w:rPr>
                <w:rFonts w:cs="Times New Roman" w:hint="eastAsia"/>
                <w:b/>
                <w:bCs/>
                <w:sz w:val="18"/>
                <w:szCs w:val="18"/>
              </w:rPr>
              <w:t>初始分布</w:t>
            </w:r>
          </w:p>
        </w:tc>
      </w:tr>
      <w:tr w:rsidR="005E37C1" w14:paraId="2DB318E5"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0AEC56CD" w14:textId="77777777" w:rsidR="005E37C1" w:rsidRDefault="005E37C1">
            <w:pPr>
              <w:spacing w:line="273" w:lineRule="auto"/>
              <w:jc w:val="center"/>
              <w:rPr>
                <w:rFonts w:cs="Times New Roman" w:hint="eastAsia"/>
              </w:rPr>
            </w:pPr>
            <w:r>
              <w:rPr>
                <w:rFonts w:cs="Times New Roman" w:hint="eastAsia"/>
                <w:sz w:val="18"/>
                <w:szCs w:val="18"/>
              </w:rPr>
              <w:t>救护车</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7CAB138" w14:textId="77777777" w:rsidR="005E37C1" w:rsidRDefault="005E37C1">
            <w:pPr>
              <w:spacing w:line="273" w:lineRule="auto"/>
              <w:jc w:val="center"/>
              <w:rPr>
                <w:rFonts w:cs="Times New Roman" w:hint="eastAsia"/>
              </w:rPr>
            </w:pPr>
            <w:r>
              <w:rPr>
                <w:rFonts w:cs="Times New Roman" w:hint="eastAsia"/>
                <w:sz w:val="18"/>
                <w:szCs w:val="18"/>
              </w:rPr>
              <w:t>3</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5FD7468" w14:textId="77777777" w:rsidR="005E37C1" w:rsidRDefault="005E37C1">
            <w:pPr>
              <w:spacing w:line="273" w:lineRule="auto"/>
              <w:jc w:val="center"/>
              <w:rPr>
                <w:rFonts w:cs="Times New Roman" w:hint="eastAsia"/>
              </w:rPr>
            </w:pPr>
            <w:r>
              <w:rPr>
                <w:rFonts w:cs="Times New Roman" w:hint="eastAsia"/>
                <w:sz w:val="18"/>
                <w:szCs w:val="18"/>
              </w:rPr>
              <w:t>50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7678311" w14:textId="77777777" w:rsidR="005E37C1" w:rsidRDefault="005E37C1">
            <w:pPr>
              <w:spacing w:line="273" w:lineRule="auto"/>
              <w:jc w:val="center"/>
              <w:rPr>
                <w:rFonts w:cs="Times New Roman" w:hint="eastAsia"/>
              </w:rPr>
            </w:pPr>
            <w:r>
              <w:rPr>
                <w:rFonts w:cs="Times New Roman" w:hint="eastAsia"/>
                <w:sz w:val="18"/>
                <w:szCs w:val="18"/>
              </w:rPr>
              <w:t>15辆</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91BC904" w14:textId="77777777" w:rsidR="005E37C1" w:rsidRDefault="005E37C1">
            <w:pPr>
              <w:spacing w:line="273" w:lineRule="auto"/>
              <w:jc w:val="center"/>
              <w:rPr>
                <w:rFonts w:cs="Times New Roman" w:hint="eastAsia"/>
              </w:rPr>
            </w:pPr>
            <w:r>
              <w:rPr>
                <w:rFonts w:cs="Times New Roman" w:hint="eastAsia"/>
                <w:sz w:val="18"/>
                <w:szCs w:val="18"/>
              </w:rPr>
              <w:t>k=1, 2</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9FB6DE1" w14:textId="77777777" w:rsidR="005E37C1" w:rsidRDefault="005E37C1">
            <w:pPr>
              <w:spacing w:line="273" w:lineRule="auto"/>
              <w:jc w:val="left"/>
              <w:rPr>
                <w:rFonts w:cs="Times New Roman" w:hint="eastAsia"/>
              </w:rPr>
            </w:pPr>
            <w:r>
              <w:rPr>
                <w:rFonts w:cs="Times New Roman" w:hint="eastAsia"/>
                <w:sz w:val="18"/>
                <w:szCs w:val="18"/>
              </w:rPr>
              <w:t>围绕事故点均匀分布</w:t>
            </w:r>
          </w:p>
        </w:tc>
      </w:tr>
      <w:tr w:rsidR="005E37C1" w14:paraId="2F52EDB2"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4ACEDFF5" w14:textId="77777777" w:rsidR="005E37C1" w:rsidRDefault="005E37C1">
            <w:pPr>
              <w:spacing w:line="273" w:lineRule="auto"/>
              <w:jc w:val="center"/>
              <w:rPr>
                <w:rFonts w:cs="Times New Roman" w:hint="eastAsia"/>
              </w:rPr>
            </w:pPr>
            <w:r>
              <w:rPr>
                <w:rFonts w:cs="Times New Roman" w:hint="eastAsia"/>
                <w:sz w:val="18"/>
                <w:szCs w:val="18"/>
              </w:rPr>
              <w:t>直升机</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D72A0E1" w14:textId="77777777" w:rsidR="005E37C1" w:rsidRDefault="005E37C1">
            <w:pPr>
              <w:spacing w:line="273" w:lineRule="auto"/>
              <w:jc w:val="center"/>
              <w:rPr>
                <w:rFonts w:cs="Times New Roman" w:hint="eastAsia"/>
              </w:rPr>
            </w:pPr>
            <w:r>
              <w:rPr>
                <w:rFonts w:cs="Times New Roman" w:hint="eastAsia"/>
                <w:sz w:val="18"/>
                <w:szCs w:val="18"/>
              </w:rPr>
              <w:t>6</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192C0A4" w14:textId="77777777" w:rsidR="005E37C1" w:rsidRDefault="005E37C1">
            <w:pPr>
              <w:spacing w:line="273" w:lineRule="auto"/>
              <w:jc w:val="center"/>
              <w:rPr>
                <w:rFonts w:cs="Times New Roman" w:hint="eastAsia"/>
              </w:rPr>
            </w:pPr>
            <w:r>
              <w:rPr>
                <w:rFonts w:cs="Times New Roman" w:hint="eastAsia"/>
                <w:sz w:val="18"/>
                <w:szCs w:val="18"/>
              </w:rPr>
              <w:t>150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5F51271" w14:textId="77777777" w:rsidR="005E37C1" w:rsidRDefault="005E37C1">
            <w:pPr>
              <w:spacing w:line="273" w:lineRule="auto"/>
              <w:jc w:val="center"/>
              <w:rPr>
                <w:rFonts w:cs="Times New Roman" w:hint="eastAsia"/>
              </w:rPr>
            </w:pPr>
            <w:r>
              <w:rPr>
                <w:rFonts w:cs="Times New Roman" w:hint="eastAsia"/>
                <w:sz w:val="18"/>
                <w:szCs w:val="18"/>
              </w:rPr>
              <w:t>3架</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5D1621B" w14:textId="77777777" w:rsidR="005E37C1" w:rsidRDefault="005E37C1">
            <w:pPr>
              <w:spacing w:line="273" w:lineRule="auto"/>
              <w:jc w:val="center"/>
              <w:rPr>
                <w:rFonts w:cs="Times New Roman" w:hint="eastAsia"/>
              </w:rPr>
            </w:pPr>
            <w:r>
              <w:rPr>
                <w:rFonts w:cs="Times New Roman" w:hint="eastAsia"/>
                <w:sz w:val="18"/>
                <w:szCs w:val="18"/>
              </w:rPr>
              <w:t>k=1, 2</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CAD4C3F" w14:textId="77777777" w:rsidR="005E37C1" w:rsidRDefault="005E37C1">
            <w:pPr>
              <w:spacing w:line="273" w:lineRule="auto"/>
              <w:jc w:val="left"/>
              <w:rPr>
                <w:rFonts w:cs="Times New Roman" w:hint="eastAsia"/>
              </w:rPr>
            </w:pPr>
            <w:r>
              <w:rPr>
                <w:rFonts w:cs="Times New Roman" w:hint="eastAsia"/>
                <w:sz w:val="18"/>
                <w:szCs w:val="18"/>
              </w:rPr>
              <w:t>围绕事故点均匀分布</w:t>
            </w:r>
          </w:p>
        </w:tc>
      </w:tr>
      <w:tr w:rsidR="005E37C1" w14:paraId="3CA25283"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B759338" w14:textId="77777777" w:rsidR="005E37C1" w:rsidRDefault="005E37C1">
            <w:pPr>
              <w:spacing w:line="273" w:lineRule="auto"/>
              <w:jc w:val="center"/>
              <w:rPr>
                <w:rFonts w:cs="Times New Roman" w:hint="eastAsia"/>
              </w:rPr>
            </w:pPr>
            <w:r>
              <w:rPr>
                <w:rFonts w:cs="Times New Roman" w:hint="eastAsia"/>
                <w:sz w:val="18"/>
                <w:szCs w:val="18"/>
              </w:rPr>
              <w:t>公交车</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89D7EC0" w14:textId="77777777" w:rsidR="005E37C1" w:rsidRDefault="005E37C1">
            <w:pPr>
              <w:spacing w:line="273" w:lineRule="auto"/>
              <w:jc w:val="center"/>
              <w:rPr>
                <w:rFonts w:cs="Times New Roman" w:hint="eastAsia"/>
              </w:rPr>
            </w:pPr>
            <w:r>
              <w:rPr>
                <w:rFonts w:cs="Times New Roman" w:hint="eastAsia"/>
                <w:sz w:val="18"/>
                <w:szCs w:val="18"/>
              </w:rPr>
              <w:t>50</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D143018" w14:textId="77777777" w:rsidR="005E37C1" w:rsidRDefault="005E37C1">
            <w:pPr>
              <w:spacing w:line="273" w:lineRule="auto"/>
              <w:jc w:val="center"/>
              <w:rPr>
                <w:rFonts w:cs="Times New Roman" w:hint="eastAsia"/>
              </w:rPr>
            </w:pPr>
            <w:r>
              <w:rPr>
                <w:rFonts w:cs="Times New Roman" w:hint="eastAsia"/>
                <w:sz w:val="18"/>
                <w:szCs w:val="18"/>
              </w:rPr>
              <w:t>30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A85BFDE" w14:textId="77777777" w:rsidR="005E37C1" w:rsidRDefault="005E37C1">
            <w:pPr>
              <w:spacing w:line="273" w:lineRule="auto"/>
              <w:jc w:val="center"/>
              <w:rPr>
                <w:rFonts w:cs="Times New Roman" w:hint="eastAsia"/>
              </w:rPr>
            </w:pPr>
            <w:r>
              <w:rPr>
                <w:rFonts w:cs="Times New Roman" w:hint="eastAsia"/>
                <w:sz w:val="18"/>
                <w:szCs w:val="18"/>
              </w:rPr>
              <w:t>20辆</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81E757F" w14:textId="77777777" w:rsidR="005E37C1" w:rsidRDefault="005E37C1">
            <w:pPr>
              <w:spacing w:line="273" w:lineRule="auto"/>
              <w:jc w:val="center"/>
              <w:rPr>
                <w:rFonts w:cs="Times New Roman" w:hint="eastAsia"/>
              </w:rPr>
            </w:pPr>
            <w:r>
              <w:rPr>
                <w:rFonts w:cs="Times New Roman" w:hint="eastAsia"/>
                <w:sz w:val="18"/>
                <w:szCs w:val="18"/>
              </w:rPr>
              <w:t>k=2, 3</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38E7EC5" w14:textId="77777777" w:rsidR="005E37C1" w:rsidRDefault="005E37C1">
            <w:pPr>
              <w:spacing w:line="273" w:lineRule="auto"/>
              <w:jc w:val="left"/>
              <w:rPr>
                <w:rFonts w:cs="Times New Roman" w:hint="eastAsia"/>
              </w:rPr>
            </w:pPr>
            <w:r>
              <w:rPr>
                <w:rFonts w:cs="Times New Roman" w:hint="eastAsia"/>
                <w:sz w:val="18"/>
                <w:szCs w:val="18"/>
              </w:rPr>
              <w:t>围绕事故点均匀分布</w:t>
            </w:r>
          </w:p>
        </w:tc>
      </w:tr>
      <w:tr w:rsidR="005E37C1" w14:paraId="36B9BACD"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A444AAD" w14:textId="77777777" w:rsidR="005E37C1" w:rsidRDefault="005E37C1">
            <w:pPr>
              <w:spacing w:line="273" w:lineRule="auto"/>
              <w:jc w:val="center"/>
              <w:rPr>
                <w:rFonts w:cs="Times New Roman" w:hint="eastAsia"/>
              </w:rPr>
            </w:pPr>
            <w:r>
              <w:rPr>
                <w:rFonts w:cs="Times New Roman" w:hint="eastAsia"/>
                <w:sz w:val="18"/>
                <w:szCs w:val="18"/>
              </w:rPr>
              <w:t>私家车</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8F19594" w14:textId="77777777" w:rsidR="005E37C1" w:rsidRDefault="005E37C1">
            <w:pPr>
              <w:spacing w:line="273" w:lineRule="auto"/>
              <w:jc w:val="center"/>
              <w:rPr>
                <w:rFonts w:cs="Times New Roman" w:hint="eastAsia"/>
              </w:rPr>
            </w:pPr>
            <w:r>
              <w:rPr>
                <w:rFonts w:cs="Times New Roman" w:hint="eastAsia"/>
                <w:sz w:val="18"/>
                <w:szCs w:val="18"/>
              </w:rPr>
              <w:t>4</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7043A97" w14:textId="77777777" w:rsidR="005E37C1" w:rsidRDefault="005E37C1">
            <w:pPr>
              <w:spacing w:line="273" w:lineRule="auto"/>
              <w:jc w:val="center"/>
              <w:rPr>
                <w:rFonts w:cs="Times New Roman" w:hint="eastAsia"/>
              </w:rPr>
            </w:pPr>
            <w:r>
              <w:rPr>
                <w:rFonts w:cs="Times New Roman" w:hint="eastAsia"/>
                <w:sz w:val="18"/>
                <w:szCs w:val="18"/>
              </w:rPr>
              <w:t>35</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84874F2" w14:textId="77777777" w:rsidR="005E37C1" w:rsidRDefault="005E37C1">
            <w:pPr>
              <w:spacing w:line="273" w:lineRule="auto"/>
              <w:jc w:val="center"/>
              <w:rPr>
                <w:rFonts w:cs="Times New Roman" w:hint="eastAsia"/>
              </w:rPr>
            </w:pPr>
            <w:r>
              <w:rPr>
                <w:rFonts w:cs="Times New Roman" w:hint="eastAsia"/>
                <w:sz w:val="18"/>
                <w:szCs w:val="18"/>
              </w:rPr>
              <w:t>100辆*</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EBB2355" w14:textId="77777777" w:rsidR="005E37C1" w:rsidRDefault="005E37C1">
            <w:pPr>
              <w:spacing w:line="273" w:lineRule="auto"/>
              <w:jc w:val="center"/>
              <w:rPr>
                <w:rFonts w:cs="Times New Roman" w:hint="eastAsia"/>
              </w:rPr>
            </w:pPr>
            <w:r>
              <w:rPr>
                <w:rFonts w:cs="Times New Roman" w:hint="eastAsia"/>
                <w:sz w:val="18"/>
                <w:szCs w:val="18"/>
              </w:rPr>
              <w:t>k=2, 3</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C474F4A" w14:textId="77777777" w:rsidR="005E37C1" w:rsidRDefault="005E37C1">
            <w:pPr>
              <w:spacing w:line="273" w:lineRule="auto"/>
              <w:jc w:val="left"/>
              <w:rPr>
                <w:rFonts w:cs="Times New Roman" w:hint="eastAsia"/>
              </w:rPr>
            </w:pPr>
            <w:r>
              <w:rPr>
                <w:rFonts w:cs="Times New Roman" w:hint="eastAsia"/>
                <w:sz w:val="18"/>
                <w:szCs w:val="18"/>
              </w:rPr>
              <w:t>围绕事故点均匀分布</w:t>
            </w:r>
          </w:p>
        </w:tc>
      </w:tr>
      <w:tr w:rsidR="005E37C1" w14:paraId="6D0CBEE5"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0E401A0D" w14:textId="77777777" w:rsidR="005E37C1" w:rsidRDefault="005E37C1">
            <w:pPr>
              <w:spacing w:line="273" w:lineRule="auto"/>
              <w:jc w:val="center"/>
              <w:rPr>
                <w:rFonts w:cs="Times New Roman" w:hint="eastAsia"/>
              </w:rPr>
            </w:pPr>
            <w:r>
              <w:rPr>
                <w:rFonts w:cs="Times New Roman" w:hint="eastAsia"/>
                <w:sz w:val="18"/>
                <w:szCs w:val="18"/>
              </w:rPr>
              <w:t>地铁</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C341474" w14:textId="77777777" w:rsidR="005E37C1" w:rsidRDefault="005E37C1">
            <w:pPr>
              <w:spacing w:line="273" w:lineRule="auto"/>
              <w:jc w:val="center"/>
              <w:rPr>
                <w:rFonts w:cs="Times New Roman" w:hint="eastAsia"/>
              </w:rPr>
            </w:pPr>
            <w:r>
              <w:rPr>
                <w:rFonts w:cs="Times New Roman" w:hint="eastAsia"/>
                <w:sz w:val="18"/>
                <w:szCs w:val="18"/>
              </w:rPr>
              <w:t>500</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50174AB" w14:textId="77777777" w:rsidR="005E37C1" w:rsidRDefault="005E37C1">
            <w:pPr>
              <w:spacing w:line="273" w:lineRule="auto"/>
              <w:jc w:val="center"/>
              <w:rPr>
                <w:rFonts w:cs="Times New Roman" w:hint="eastAsia"/>
              </w:rPr>
            </w:pPr>
            <w:r>
              <w:rPr>
                <w:rFonts w:cs="Times New Roman" w:hint="eastAsia"/>
                <w:sz w:val="18"/>
                <w:szCs w:val="18"/>
              </w:rPr>
              <w:t>40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3E58563" w14:textId="77777777" w:rsidR="005E37C1" w:rsidRDefault="005E37C1">
            <w:pPr>
              <w:spacing w:line="273" w:lineRule="auto"/>
              <w:jc w:val="center"/>
              <w:rPr>
                <w:rFonts w:cs="Times New Roman" w:hint="eastAsia"/>
              </w:rPr>
            </w:pPr>
            <w:r>
              <w:rPr>
                <w:rFonts w:cs="Times New Roman" w:hint="eastAsia"/>
                <w:sz w:val="18"/>
                <w:szCs w:val="18"/>
              </w:rPr>
              <w:t>5列</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73AE275" w14:textId="77777777" w:rsidR="005E37C1" w:rsidRDefault="005E37C1">
            <w:pPr>
              <w:spacing w:line="273" w:lineRule="auto"/>
              <w:jc w:val="center"/>
              <w:rPr>
                <w:rFonts w:cs="Times New Roman" w:hint="eastAsia"/>
              </w:rPr>
            </w:pPr>
            <w:r>
              <w:rPr>
                <w:rFonts w:cs="Times New Roman" w:hint="eastAsia"/>
                <w:sz w:val="18"/>
                <w:szCs w:val="18"/>
              </w:rPr>
              <w:t>k=2, 3</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90E84E2" w14:textId="77777777" w:rsidR="005E37C1" w:rsidRDefault="005E37C1">
            <w:pPr>
              <w:spacing w:line="273" w:lineRule="auto"/>
              <w:jc w:val="left"/>
              <w:rPr>
                <w:rFonts w:cs="Times New Roman" w:hint="eastAsia"/>
              </w:rPr>
            </w:pPr>
            <w:r>
              <w:rPr>
                <w:rFonts w:cs="Times New Roman" w:hint="eastAsia"/>
                <w:sz w:val="18"/>
                <w:szCs w:val="18"/>
              </w:rPr>
              <w:t>地铁站固定</w:t>
            </w:r>
          </w:p>
        </w:tc>
      </w:tr>
    </w:tbl>
    <w:p w14:paraId="1D044D81" w14:textId="77777777" w:rsidR="005E37C1" w:rsidRDefault="005E37C1" w:rsidP="005E37C1">
      <w:pPr>
        <w:spacing w:after="120" w:line="360" w:lineRule="auto"/>
        <w:rPr>
          <w:rFonts w:hint="eastAsia"/>
        </w:rPr>
      </w:pPr>
      <w:r>
        <w:rPr>
          <w:rFonts w:hint="eastAsia"/>
          <w:sz w:val="18"/>
          <w:szCs w:val="18"/>
        </w:rPr>
        <w:t>注：*私家车数量根据通勤数据中驾车比例动态调整。</w:t>
      </w:r>
    </w:p>
    <w:p w14:paraId="2FA06E49" w14:textId="77777777" w:rsidR="005E37C1" w:rsidRPr="00373624" w:rsidRDefault="005E37C1" w:rsidP="00373624">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lastRenderedPageBreak/>
        <w:t>3.3.2  风险感知时间步进调度模型</w:t>
      </w:r>
    </w:p>
    <w:p w14:paraId="38B3ADED"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采用时间步进式调度算法，以Δt=5 min为步长，在T=180 min时间范围内运行。每个时间步：（1）计算各起点剩余待疏散人口和实时风险暴露值（通过在高斯烟羽浓度场上插值）；（2）按优先级顺序调度车辆（先k=1，再k=2，最后k=3），各优先级内按风险暴露值降序排列起点（高风险先疏散）；（3）每辆车被分配至最近的可行起点—终点对，行程时间基于路网Dijkstra最短路径计算；（4）追踪车辆返回时间以实现重复使用（返回时间=到达时间+出行时间+2 min卸客时间）。</w:t>
      </w:r>
    </w:p>
    <w:p w14:paraId="60243AE8" w14:textId="77777777" w:rsidR="005E37C1" w:rsidRPr="00373624" w:rsidRDefault="005E37C1" w:rsidP="00373624">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3.3.3  目标函数</w:t>
      </w:r>
    </w:p>
    <w:p w14:paraId="68F4C001"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疏散模型最小化三个目标的加权组合：</w:t>
      </w:r>
    </w:p>
    <w:p w14:paraId="1076CB85" w14:textId="77777777" w:rsidR="005E37C1" w:rsidRPr="008837BD" w:rsidRDefault="005E37C1" w:rsidP="008837BD">
      <w:pPr>
        <w:spacing w:beforeLines="50" w:before="120" w:after="100" w:line="360" w:lineRule="auto"/>
        <w:ind w:firstLineChars="200" w:firstLine="480"/>
        <w:jc w:val="center"/>
        <w:rPr>
          <w:rFonts w:ascii="Times New Roman" w:eastAsia="仿宋" w:hAnsi="Times New Roman" w:cs="Times New Roman" w:hint="eastAsia"/>
          <w:sz w:val="24"/>
          <w:szCs w:val="24"/>
        </w:rPr>
      </w:pPr>
      <w:r>
        <w:rPr>
          <w:rFonts w:ascii="Times New Roman" w:eastAsia="仿宋" w:hAnsi="Times New Roman" w:cs="Times New Roman"/>
          <w:sz w:val="24"/>
          <w:szCs w:val="24"/>
        </w:rPr>
        <w:t>min Z = w₁·Z₁ + w₂·Z₂ + w₃·Z₃          (5)</w:t>
      </w:r>
    </w:p>
    <w:p w14:paraId="386A6909"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其中Z</w:t>
      </w:r>
      <w:r>
        <w:rPr>
          <w:rFonts w:ascii="Times New Roman" w:eastAsia="仿宋" w:hAnsi="Times New Roman" w:cs="Times New Roman"/>
          <w:sz w:val="24"/>
          <w:szCs w:val="24"/>
        </w:rPr>
        <w:t>₁</w:t>
      </w:r>
      <w:r>
        <w:rPr>
          <w:rFonts w:ascii="Times New Roman" w:eastAsia="仿宋" w:hAnsi="Times New Roman" w:cs="Times New Roman" w:hint="eastAsia"/>
          <w:sz w:val="24"/>
          <w:szCs w:val="24"/>
        </w:rPr>
        <w:t>（加权疏散时间）= ∑ ωk · 行程时间 · 运送人数，权重w</w:t>
      </w:r>
      <w:r>
        <w:rPr>
          <w:rFonts w:ascii="Times New Roman" w:eastAsia="仿宋" w:hAnsi="Times New Roman" w:cs="Times New Roman"/>
          <w:sz w:val="24"/>
          <w:szCs w:val="24"/>
        </w:rPr>
        <w:t>₁</w:t>
      </w:r>
      <w:r>
        <w:rPr>
          <w:rFonts w:ascii="Times New Roman" w:eastAsia="仿宋" w:hAnsi="Times New Roman" w:cs="Times New Roman" w:hint="eastAsia"/>
          <w:sz w:val="24"/>
          <w:szCs w:val="24"/>
        </w:rPr>
        <w:t>=1.0；Z</w:t>
      </w:r>
      <w:r>
        <w:rPr>
          <w:rFonts w:ascii="Times New Roman" w:eastAsia="仿宋" w:hAnsi="Times New Roman" w:cs="Times New Roman"/>
          <w:sz w:val="24"/>
          <w:szCs w:val="24"/>
        </w:rPr>
        <w:t>₂</w:t>
      </w:r>
      <w:r>
        <w:rPr>
          <w:rFonts w:ascii="Times New Roman" w:eastAsia="仿宋" w:hAnsi="Times New Roman" w:cs="Times New Roman" w:hint="eastAsia"/>
          <w:sz w:val="24"/>
          <w:szCs w:val="24"/>
        </w:rPr>
        <w:t>（动态风险暴露）= ∑ ρ(i,t) · ωk · Hk(i,t)，其中ρ(i,t)为t时刻节点i处的气体浓度，Hk(i,t)为滞留的k类人口数，权重w</w:t>
      </w:r>
      <w:r>
        <w:rPr>
          <w:rFonts w:ascii="Times New Roman" w:eastAsia="仿宋" w:hAnsi="Times New Roman" w:cs="Times New Roman"/>
          <w:sz w:val="24"/>
          <w:szCs w:val="24"/>
        </w:rPr>
        <w:t>₂</w:t>
      </w:r>
      <w:r>
        <w:rPr>
          <w:rFonts w:ascii="Times New Roman" w:eastAsia="仿宋" w:hAnsi="Times New Roman" w:cs="Times New Roman" w:hint="eastAsia"/>
          <w:sz w:val="24"/>
          <w:szCs w:val="24"/>
        </w:rPr>
        <w:t>=0.01；Z</w:t>
      </w:r>
      <w:r>
        <w:rPr>
          <w:rFonts w:ascii="Times New Roman" w:eastAsia="仿宋" w:hAnsi="Times New Roman" w:cs="Times New Roman"/>
          <w:sz w:val="24"/>
          <w:szCs w:val="24"/>
        </w:rPr>
        <w:t>₃</w:t>
      </w:r>
      <w:r>
        <w:rPr>
          <w:rFonts w:ascii="Times New Roman" w:eastAsia="仿宋" w:hAnsi="Times New Roman" w:cs="Times New Roman" w:hint="eastAsia"/>
          <w:sz w:val="24"/>
          <w:szCs w:val="24"/>
        </w:rPr>
        <w:t>（未服务需求惩罚）= ∑ Punsat · ωk · remainingk(Tmax)，Punsat=500，权重w</w:t>
      </w:r>
      <w:r>
        <w:rPr>
          <w:rFonts w:ascii="Times New Roman" w:eastAsia="仿宋" w:hAnsi="Times New Roman" w:cs="Times New Roman"/>
          <w:sz w:val="24"/>
          <w:szCs w:val="24"/>
        </w:rPr>
        <w:t>₃</w:t>
      </w:r>
      <w:r>
        <w:rPr>
          <w:rFonts w:ascii="Times New Roman" w:eastAsia="仿宋" w:hAnsi="Times New Roman" w:cs="Times New Roman" w:hint="eastAsia"/>
          <w:sz w:val="24"/>
          <w:szCs w:val="24"/>
        </w:rPr>
        <w:t>=100.0。</w:t>
      </w:r>
    </w:p>
    <w:p w14:paraId="654C4F31" w14:textId="77777777" w:rsidR="005E37C1" w:rsidRPr="00C36B03"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3.4  韧性评估框架</w:t>
      </w:r>
    </w:p>
    <w:p w14:paraId="3B86EB3C"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应用三维韧性评估框架评价交通系统在危险品事故中的应急响应能力：（1）结构韧性衡量路网的物理损伤程度，以道路封闭比例（封闭道路长度/影响区域内总道路长度）为核心指标；（2）功能韧性衡量应急任务的完成效率，包括物资配送完成率、生命救援准时率和疏散完成率三项指标；（3）适应韧性衡量分区策略和多模式协同对系统性能的改善能力，以无人机接力配送增量和ERPG分区策略的疏散增益为代表指标。</w:t>
      </w:r>
    </w:p>
    <w:p w14:paraId="31C1EC21"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hint="eastAsia"/>
          <w:color w:val="3B5AA2"/>
          <w:position w:val="16"/>
          <w:sz w:val="32"/>
          <w:szCs w:val="24"/>
        </w:rPr>
        <w:lastRenderedPageBreak/>
        <w:t>4  案例研究与数值结果</w:t>
      </w:r>
    </w:p>
    <w:p w14:paraId="778C8BDF"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4.1  事故场景参数配置</w:t>
      </w:r>
    </w:p>
    <w:p w14:paraId="65DEE634"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事故场景参数配置如表2所示。</w:t>
      </w:r>
    </w:p>
    <w:p w14:paraId="3332489C" w14:textId="77777777" w:rsidR="005E37C1" w:rsidRPr="005E37C1" w:rsidRDefault="005E37C1" w:rsidP="005E37C1">
      <w:pPr>
        <w:spacing w:after="120" w:line="360" w:lineRule="auto"/>
        <w:ind w:firstLine="420"/>
        <w:rPr>
          <w:rFonts w:hint="eastAsia"/>
        </w:rPr>
      </w:pPr>
      <w:r>
        <w:rPr>
          <w:rFonts w:hint="eastAsia"/>
          <w:b/>
          <w:bCs/>
        </w:rPr>
        <w:t>表2  事故场景参数（同3.1.1节） / Table 2  Incident scenario parameters (repeated)</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E37C1" w:rsidRPr="005E37C1" w14:paraId="64F6CC75" w14:textId="77777777" w:rsidTr="005E37C1">
        <w:tc>
          <w:tcPr>
            <w:tcW w:w="4513"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2B185BD8" w14:textId="77777777" w:rsidR="005E37C1" w:rsidRPr="005E37C1" w:rsidRDefault="005E37C1" w:rsidP="005E37C1">
            <w:pPr>
              <w:spacing w:after="120" w:line="360" w:lineRule="auto"/>
              <w:ind w:firstLine="420"/>
              <w:rPr>
                <w:rFonts w:hint="eastAsia"/>
              </w:rPr>
            </w:pPr>
            <w:r>
              <w:rPr>
                <w:rFonts w:hint="eastAsia"/>
                <w:b/>
                <w:bCs/>
              </w:rPr>
              <w:t>参数</w:t>
            </w:r>
          </w:p>
        </w:tc>
        <w:tc>
          <w:tcPr>
            <w:tcW w:w="4513"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08838C5" w14:textId="77777777" w:rsidR="005E37C1" w:rsidRPr="005E37C1" w:rsidRDefault="005E37C1" w:rsidP="005E37C1">
            <w:pPr>
              <w:spacing w:after="120" w:line="360" w:lineRule="auto"/>
              <w:ind w:firstLine="420"/>
              <w:rPr>
                <w:rFonts w:hint="eastAsia"/>
              </w:rPr>
            </w:pPr>
            <w:r>
              <w:rPr>
                <w:rFonts w:hint="eastAsia"/>
                <w:b/>
                <w:bCs/>
              </w:rPr>
              <w:t>设定值</w:t>
            </w:r>
          </w:p>
        </w:tc>
      </w:tr>
      <w:tr w:rsidR="005E37C1" w:rsidRPr="005E37C1" w14:paraId="37C4199C"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6B0E9E1C" w14:textId="77777777" w:rsidR="005E37C1" w:rsidRPr="005E37C1" w:rsidRDefault="005E37C1" w:rsidP="005E37C1">
            <w:pPr>
              <w:spacing w:after="120" w:line="360" w:lineRule="auto"/>
              <w:ind w:firstLine="420"/>
              <w:rPr>
                <w:rFonts w:hint="eastAsia"/>
              </w:rPr>
            </w:pPr>
            <w:r>
              <w:rPr>
                <w:rFonts w:hint="eastAsia"/>
              </w:rPr>
              <w:t>事故位置</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AD490CF" w14:textId="77777777" w:rsidR="005E37C1" w:rsidRPr="005E37C1" w:rsidRDefault="005E37C1" w:rsidP="005E37C1">
            <w:pPr>
              <w:spacing w:after="120" w:line="360" w:lineRule="auto"/>
              <w:ind w:firstLine="420"/>
              <w:rPr>
                <w:rFonts w:hint="eastAsia"/>
              </w:rPr>
            </w:pPr>
            <w:r>
              <w:rPr>
                <w:rFonts w:hint="eastAsia"/>
              </w:rPr>
              <w:t>116.494°E，39.736°N（六环路太和桥立交）</w:t>
            </w:r>
          </w:p>
        </w:tc>
      </w:tr>
      <w:tr w:rsidR="005E37C1" w:rsidRPr="005E37C1" w14:paraId="3FBE5CE1"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917494A" w14:textId="77777777" w:rsidR="005E37C1" w:rsidRPr="005E37C1" w:rsidRDefault="005E37C1" w:rsidP="005E37C1">
            <w:pPr>
              <w:spacing w:after="120" w:line="360" w:lineRule="auto"/>
              <w:ind w:firstLine="420"/>
              <w:rPr>
                <w:rFonts w:hint="eastAsia"/>
              </w:rPr>
            </w:pPr>
            <w:r>
              <w:rPr>
                <w:rFonts w:hint="eastAsia"/>
              </w:rPr>
              <w:t>泄漏气体</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D639100" w14:textId="77777777" w:rsidR="005E37C1" w:rsidRPr="005E37C1" w:rsidRDefault="005E37C1" w:rsidP="005E37C1">
            <w:pPr>
              <w:spacing w:after="120" w:line="360" w:lineRule="auto"/>
              <w:ind w:firstLine="420"/>
              <w:rPr>
                <w:rFonts w:hint="eastAsia"/>
              </w:rPr>
            </w:pPr>
            <w:r>
              <w:rPr>
                <w:rFonts w:hint="eastAsia"/>
              </w:rPr>
              <w:t>氯气（Cl</w:t>
            </w:r>
            <w:r>
              <w:rPr>
                <w:rFonts w:ascii="Cambria Math" w:hAnsi="Cambria Math" w:cs="Cambria Math"/>
              </w:rPr>
              <w:t>₂</w:t>
            </w:r>
            <w:r>
              <w:rPr>
                <w:rFonts w:hint="eastAsia"/>
              </w:rPr>
              <w:t>）</w:t>
            </w:r>
          </w:p>
        </w:tc>
      </w:tr>
      <w:tr w:rsidR="005E37C1" w:rsidRPr="005E37C1" w14:paraId="6E83643F"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04FE0034" w14:textId="77777777" w:rsidR="005E37C1" w:rsidRPr="005E37C1" w:rsidRDefault="005E37C1" w:rsidP="005E37C1">
            <w:pPr>
              <w:spacing w:after="120" w:line="360" w:lineRule="auto"/>
              <w:ind w:firstLine="420"/>
              <w:rPr>
                <w:rFonts w:hint="eastAsia"/>
              </w:rPr>
            </w:pPr>
            <w:r>
              <w:rPr>
                <w:rFonts w:hint="eastAsia"/>
              </w:rPr>
              <w:t>泄漏速率</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F5A83EA" w14:textId="77777777" w:rsidR="005E37C1" w:rsidRPr="005E37C1" w:rsidRDefault="005E37C1" w:rsidP="005E37C1">
            <w:pPr>
              <w:spacing w:after="120" w:line="360" w:lineRule="auto"/>
              <w:ind w:firstLine="420"/>
              <w:rPr>
                <w:rFonts w:hint="eastAsia"/>
              </w:rPr>
            </w:pPr>
            <w:r>
              <w:rPr>
                <w:rFonts w:hint="eastAsia"/>
              </w:rPr>
              <w:t>5 kg/min</w:t>
            </w:r>
          </w:p>
        </w:tc>
      </w:tr>
      <w:tr w:rsidR="005E37C1" w:rsidRPr="005E37C1" w14:paraId="574E6C9E"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41A9C696" w14:textId="77777777" w:rsidR="005E37C1" w:rsidRPr="005E37C1" w:rsidRDefault="005E37C1" w:rsidP="005E37C1">
            <w:pPr>
              <w:spacing w:after="120" w:line="360" w:lineRule="auto"/>
              <w:ind w:firstLine="420"/>
              <w:rPr>
                <w:rFonts w:hint="eastAsia"/>
              </w:rPr>
            </w:pPr>
            <w:r>
              <w:rPr>
                <w:rFonts w:hint="eastAsia"/>
              </w:rPr>
              <w:t>风速</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9345284" w14:textId="77777777" w:rsidR="005E37C1" w:rsidRPr="005E37C1" w:rsidRDefault="005E37C1" w:rsidP="005E37C1">
            <w:pPr>
              <w:spacing w:after="120" w:line="360" w:lineRule="auto"/>
              <w:ind w:firstLine="420"/>
              <w:rPr>
                <w:rFonts w:hint="eastAsia"/>
              </w:rPr>
            </w:pPr>
            <w:r>
              <w:rPr>
                <w:rFonts w:hint="eastAsia"/>
              </w:rPr>
              <w:t>3.0 m/s</w:t>
            </w:r>
          </w:p>
        </w:tc>
      </w:tr>
      <w:tr w:rsidR="005E37C1" w:rsidRPr="005E37C1" w14:paraId="4F8460CB"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6A9BAFE" w14:textId="77777777" w:rsidR="005E37C1" w:rsidRPr="005E37C1" w:rsidRDefault="005E37C1" w:rsidP="005E37C1">
            <w:pPr>
              <w:spacing w:after="120" w:line="360" w:lineRule="auto"/>
              <w:ind w:firstLine="420"/>
              <w:rPr>
                <w:rFonts w:hint="eastAsia"/>
              </w:rPr>
            </w:pPr>
            <w:r>
              <w:rPr>
                <w:rFonts w:hint="eastAsia"/>
              </w:rPr>
              <w:t>风向</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8779B0E" w14:textId="77777777" w:rsidR="005E37C1" w:rsidRPr="005E37C1" w:rsidRDefault="005E37C1" w:rsidP="005E37C1">
            <w:pPr>
              <w:spacing w:after="120" w:line="360" w:lineRule="auto"/>
              <w:ind w:firstLine="420"/>
              <w:rPr>
                <w:rFonts w:hint="eastAsia"/>
              </w:rPr>
            </w:pPr>
            <w:r>
              <w:rPr>
                <w:rFonts w:hint="eastAsia"/>
              </w:rPr>
              <w:t>225°（西南风，气象学约定）</w:t>
            </w:r>
          </w:p>
        </w:tc>
      </w:tr>
      <w:tr w:rsidR="005E37C1" w:rsidRPr="005E37C1" w14:paraId="786BC0C4"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24823D7D" w14:textId="77777777" w:rsidR="005E37C1" w:rsidRPr="005E37C1" w:rsidRDefault="005E37C1" w:rsidP="005E37C1">
            <w:pPr>
              <w:spacing w:after="120" w:line="360" w:lineRule="auto"/>
              <w:ind w:firstLine="420"/>
              <w:rPr>
                <w:rFonts w:hint="eastAsia"/>
              </w:rPr>
            </w:pPr>
            <w:r>
              <w:rPr>
                <w:rFonts w:hint="eastAsia"/>
              </w:rPr>
              <w:t>稳定度等级</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37DB3E9" w14:textId="77777777" w:rsidR="005E37C1" w:rsidRPr="005E37C1" w:rsidRDefault="005E37C1" w:rsidP="005E37C1">
            <w:pPr>
              <w:spacing w:after="120" w:line="360" w:lineRule="auto"/>
              <w:ind w:firstLine="420"/>
              <w:rPr>
                <w:rFonts w:hint="eastAsia"/>
              </w:rPr>
            </w:pPr>
            <w:r>
              <w:rPr>
                <w:rFonts w:hint="eastAsia"/>
              </w:rPr>
              <w:t>D级（中性）</w:t>
            </w:r>
          </w:p>
        </w:tc>
      </w:tr>
      <w:tr w:rsidR="005E37C1" w:rsidRPr="005E37C1" w14:paraId="16D727E6"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58CF1836" w14:textId="77777777" w:rsidR="005E37C1" w:rsidRPr="005E37C1" w:rsidRDefault="005E37C1" w:rsidP="005E37C1">
            <w:pPr>
              <w:spacing w:after="120" w:line="360" w:lineRule="auto"/>
              <w:ind w:firstLine="420"/>
              <w:rPr>
                <w:rFonts w:hint="eastAsia"/>
              </w:rPr>
            </w:pPr>
            <w:r>
              <w:rPr>
                <w:rFonts w:hint="eastAsia"/>
              </w:rPr>
              <w:t>有效释放高度</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BE0B6F2" w14:textId="77777777" w:rsidR="005E37C1" w:rsidRPr="005E37C1" w:rsidRDefault="005E37C1" w:rsidP="005E37C1">
            <w:pPr>
              <w:spacing w:after="120" w:line="360" w:lineRule="auto"/>
              <w:ind w:firstLine="420"/>
              <w:rPr>
                <w:rFonts w:hint="eastAsia"/>
              </w:rPr>
            </w:pPr>
            <w:r>
              <w:rPr>
                <w:rFonts w:hint="eastAsia"/>
              </w:rPr>
              <w:t>2.0 m</w:t>
            </w:r>
          </w:p>
        </w:tc>
      </w:tr>
    </w:tbl>
    <w:p w14:paraId="57226F0E"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1 km核心封闭区内共有96.7 km道路被封闭，占5 km影响区域内总道路长度（505.3 km）的19.1%。基于ERPG浓度等值线（经缓冲处理后）划定三级响应区域：ERPG-2警戒区（≥3 mg/m³缓冲区）内人口约1.97万人，ERPG-1影响区（≥1 mg/m³缓冲区）内人口约40.7万人。按分区差异化策略，需主动疏散人口约1.38万人（ERPG-2区的k=1和k=2类，以及ERPG-1区的k=1类），就地避难人口约41.3万人（产生物资配送需求）。</w:t>
      </w:r>
    </w:p>
    <w:p w14:paraId="5F0B5762"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4.2  风向敏感性分析</w:t>
      </w:r>
    </w:p>
    <w:p w14:paraId="512428A3"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对四种风向情景进行分析，评估危险区域的方向敏感性：西南风（225°，基准）、北风（0°）、东风（90°）和强西南风（225°，8 m/s）。结果表明，风向对危险区域覆盖的人口聚集区和基础设施具有决定性影响，凸显了在应急响应系统中融入实时气象数据的重要性。</w:t>
      </w:r>
    </w:p>
    <w:p w14:paraId="7337CD7A"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lastRenderedPageBreak/>
        <w:t>4.3  物资配送优化结果</w:t>
      </w:r>
    </w:p>
    <w:p w14:paraId="3ED2C079"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物资配送方案对比结果如表6所示。</w:t>
      </w:r>
    </w:p>
    <w:p w14:paraId="362EC53D" w14:textId="77777777" w:rsidR="005E37C1" w:rsidRPr="005E37C1" w:rsidRDefault="005E37C1" w:rsidP="005E37C1">
      <w:pPr>
        <w:spacing w:after="120" w:line="360" w:lineRule="auto"/>
        <w:ind w:firstLine="420"/>
        <w:rPr>
          <w:rFonts w:hint="eastAsia"/>
        </w:rPr>
      </w:pPr>
      <w:r>
        <w:rPr>
          <w:rFonts w:hint="eastAsia"/>
          <w:b/>
          <w:bCs/>
        </w:rPr>
        <w:t>表6  物资配送方案对比 / Table 6  Supply delivery scheme comparison</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880"/>
        <w:gridCol w:w="1453"/>
        <w:gridCol w:w="1081"/>
        <w:gridCol w:w="880"/>
        <w:gridCol w:w="880"/>
        <w:gridCol w:w="880"/>
        <w:gridCol w:w="1688"/>
      </w:tblGrid>
      <w:tr w:rsidR="005E37C1" w:rsidRPr="005E37C1" w14:paraId="4DAA3514" w14:textId="77777777" w:rsidTr="005E37C1">
        <w:tc>
          <w:tcPr>
            <w:tcW w:w="14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B51827D" w14:textId="77777777" w:rsidR="005E37C1" w:rsidRPr="005E37C1" w:rsidRDefault="005E37C1" w:rsidP="005E37C1">
            <w:pPr>
              <w:spacing w:after="120" w:line="360" w:lineRule="auto"/>
              <w:ind w:firstLine="420"/>
              <w:rPr>
                <w:rFonts w:hint="eastAsia"/>
              </w:rPr>
            </w:pPr>
            <w:r>
              <w:rPr>
                <w:rFonts w:hint="eastAsia"/>
                <w:b/>
                <w:bCs/>
              </w:rPr>
              <w:t>方案</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4107BA45" w14:textId="77777777" w:rsidR="005E37C1" w:rsidRPr="005E37C1" w:rsidRDefault="005E37C1" w:rsidP="005E37C1">
            <w:pPr>
              <w:spacing w:after="120" w:line="360" w:lineRule="auto"/>
              <w:ind w:firstLine="420"/>
              <w:rPr>
                <w:rFonts w:hint="eastAsia"/>
              </w:rPr>
            </w:pPr>
            <w:r>
              <w:rPr>
                <w:rFonts w:hint="eastAsia"/>
                <w:b/>
                <w:bCs/>
              </w:rPr>
              <w:t>完成</w:t>
            </w:r>
          </w:p>
        </w:tc>
        <w:tc>
          <w:tcPr>
            <w:tcW w:w="11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081C022" w14:textId="77777777" w:rsidR="005E37C1" w:rsidRPr="005E37C1" w:rsidRDefault="005E37C1" w:rsidP="005E37C1">
            <w:pPr>
              <w:spacing w:after="120" w:line="360" w:lineRule="auto"/>
              <w:ind w:firstLine="420"/>
              <w:rPr>
                <w:rFonts w:hint="eastAsia"/>
              </w:rPr>
            </w:pPr>
            <w:r>
              <w:rPr>
                <w:rFonts w:hint="eastAsia"/>
                <w:b/>
                <w:bCs/>
              </w:rPr>
              <w:t>Makespan</w:t>
            </w:r>
          </w:p>
        </w:tc>
        <w:tc>
          <w:tcPr>
            <w:tcW w:w="11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CB4B4BC" w14:textId="77777777" w:rsidR="005E37C1" w:rsidRPr="005E37C1" w:rsidRDefault="005E37C1" w:rsidP="005E37C1">
            <w:pPr>
              <w:spacing w:after="120" w:line="360" w:lineRule="auto"/>
              <w:ind w:firstLine="420"/>
              <w:rPr>
                <w:rFonts w:hint="eastAsia"/>
              </w:rPr>
            </w:pPr>
            <w:r>
              <w:rPr>
                <w:rFonts w:hint="eastAsia"/>
                <w:b/>
                <w:bCs/>
              </w:rPr>
              <w:t>均时(min)</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B868F13" w14:textId="77777777" w:rsidR="005E37C1" w:rsidRPr="005E37C1" w:rsidRDefault="005E37C1" w:rsidP="005E37C1">
            <w:pPr>
              <w:spacing w:after="120" w:line="360" w:lineRule="auto"/>
              <w:ind w:firstLine="420"/>
              <w:rPr>
                <w:rFonts w:hint="eastAsia"/>
              </w:rPr>
            </w:pPr>
            <w:r>
              <w:rPr>
                <w:rFonts w:hint="eastAsia"/>
                <w:b/>
                <w:bCs/>
              </w:rPr>
              <w:t>惩罚</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242BB2A2" w14:textId="77777777" w:rsidR="005E37C1" w:rsidRPr="005E37C1" w:rsidRDefault="005E37C1" w:rsidP="005E37C1">
            <w:pPr>
              <w:spacing w:after="120" w:line="360" w:lineRule="auto"/>
              <w:ind w:firstLine="420"/>
              <w:rPr>
                <w:rFonts w:hint="eastAsia"/>
              </w:rPr>
            </w:pPr>
            <w:r>
              <w:rPr>
                <w:rFonts w:hint="eastAsia"/>
                <w:b/>
                <w:bCs/>
              </w:rPr>
              <w:t>直送</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B70A587" w14:textId="77777777" w:rsidR="005E37C1" w:rsidRPr="005E37C1" w:rsidRDefault="005E37C1" w:rsidP="005E37C1">
            <w:pPr>
              <w:spacing w:after="120" w:line="360" w:lineRule="auto"/>
              <w:ind w:firstLine="420"/>
              <w:rPr>
                <w:rFonts w:hint="eastAsia"/>
              </w:rPr>
            </w:pPr>
            <w:r>
              <w:rPr>
                <w:rFonts w:hint="eastAsia"/>
                <w:b/>
                <w:bCs/>
              </w:rPr>
              <w:t>接力</w:t>
            </w:r>
          </w:p>
        </w:tc>
        <w:tc>
          <w:tcPr>
            <w:tcW w:w="18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B8AFA1E" w14:textId="77777777" w:rsidR="005E37C1" w:rsidRPr="005E37C1" w:rsidRDefault="005E37C1" w:rsidP="005E37C1">
            <w:pPr>
              <w:spacing w:after="120" w:line="360" w:lineRule="auto"/>
              <w:ind w:firstLine="420"/>
              <w:rPr>
                <w:rFonts w:hint="eastAsia"/>
              </w:rPr>
            </w:pPr>
            <w:r>
              <w:rPr>
                <w:rFonts w:hint="eastAsia"/>
                <w:b/>
                <w:bCs/>
              </w:rPr>
              <w:t>改善率</w:t>
            </w:r>
          </w:p>
        </w:tc>
      </w:tr>
      <w:tr w:rsidR="005E37C1" w:rsidRPr="005E37C1" w14:paraId="51B3CD45"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5C31490" w14:textId="77777777" w:rsidR="005E37C1" w:rsidRPr="005E37C1" w:rsidRDefault="005E37C1" w:rsidP="005E37C1">
            <w:pPr>
              <w:spacing w:after="120" w:line="360" w:lineRule="auto"/>
              <w:ind w:firstLine="420"/>
              <w:rPr>
                <w:rFonts w:hint="eastAsia"/>
              </w:rPr>
            </w:pPr>
            <w:r>
              <w:rPr>
                <w:rFonts w:hint="eastAsia"/>
              </w:rPr>
              <w:t>纯货车</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7F8990C" w14:textId="77777777" w:rsidR="005E37C1" w:rsidRPr="005E37C1" w:rsidRDefault="005E37C1" w:rsidP="005E37C1">
            <w:pPr>
              <w:spacing w:after="120" w:line="360" w:lineRule="auto"/>
              <w:ind w:firstLine="420"/>
              <w:rPr>
                <w:rFonts w:hint="eastAsia"/>
              </w:rPr>
            </w:pPr>
            <w:r>
              <w:rPr>
                <w:rFonts w:hint="eastAsia"/>
              </w:rPr>
              <w:t>61</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7145F2B" w14:textId="77777777" w:rsidR="005E37C1" w:rsidRPr="005E37C1" w:rsidRDefault="005E37C1" w:rsidP="005E37C1">
            <w:pPr>
              <w:spacing w:after="120" w:line="360" w:lineRule="auto"/>
              <w:ind w:firstLine="420"/>
              <w:rPr>
                <w:rFonts w:hint="eastAsia"/>
              </w:rPr>
            </w:pPr>
            <w:r>
              <w:rPr>
                <w:rFonts w:hint="eastAsia"/>
              </w:rPr>
              <w:t>37.7</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393A734" w14:textId="77777777" w:rsidR="005E37C1" w:rsidRPr="005E37C1" w:rsidRDefault="005E37C1" w:rsidP="005E37C1">
            <w:pPr>
              <w:spacing w:after="120" w:line="360" w:lineRule="auto"/>
              <w:ind w:firstLine="420"/>
              <w:rPr>
                <w:rFonts w:hint="eastAsia"/>
              </w:rPr>
            </w:pPr>
            <w:r>
              <w:rPr>
                <w:rFonts w:hint="eastAsia"/>
              </w:rPr>
              <w:t>24.2</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2821A4E" w14:textId="77777777" w:rsidR="005E37C1" w:rsidRPr="005E37C1" w:rsidRDefault="005E37C1" w:rsidP="005E37C1">
            <w:pPr>
              <w:spacing w:after="120" w:line="360" w:lineRule="auto"/>
              <w:ind w:firstLine="420"/>
              <w:rPr>
                <w:rFonts w:hint="eastAsia"/>
              </w:rPr>
            </w:pPr>
            <w:r>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43806D0" w14:textId="77777777" w:rsidR="005E37C1" w:rsidRPr="005E37C1" w:rsidRDefault="005E37C1" w:rsidP="005E37C1">
            <w:pPr>
              <w:spacing w:after="120" w:line="360" w:lineRule="auto"/>
              <w:ind w:firstLine="420"/>
              <w:rPr>
                <w:rFonts w:hint="eastAsia"/>
              </w:rPr>
            </w:pPr>
            <w:r>
              <w:rPr>
                <w:rFonts w:hint="eastAsia"/>
              </w:rPr>
              <w:t>61</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46A49A8" w14:textId="77777777" w:rsidR="005E37C1" w:rsidRPr="005E37C1" w:rsidRDefault="005E37C1" w:rsidP="005E37C1">
            <w:pPr>
              <w:spacing w:after="120" w:line="360" w:lineRule="auto"/>
              <w:ind w:firstLine="420"/>
              <w:rPr>
                <w:rFonts w:hint="eastAsia"/>
              </w:rPr>
            </w:pPr>
            <w:r>
              <w:rPr>
                <w:rFonts w:hint="eastAsia"/>
              </w:rPr>
              <w:t>0</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C9881AF" w14:textId="77777777" w:rsidR="005E37C1" w:rsidRPr="005E37C1" w:rsidRDefault="005E37C1" w:rsidP="005E37C1">
            <w:pPr>
              <w:spacing w:after="120" w:line="360" w:lineRule="auto"/>
              <w:ind w:firstLine="420"/>
              <w:rPr>
                <w:rFonts w:hint="eastAsia"/>
              </w:rPr>
            </w:pPr>
            <w:r>
              <w:rPr>
                <w:rFonts w:hint="eastAsia"/>
              </w:rPr>
              <w:t>—</w:t>
            </w:r>
          </w:p>
        </w:tc>
      </w:tr>
      <w:tr w:rsidR="005E37C1" w:rsidRPr="005E37C1" w14:paraId="761A0D77"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9D6C0D5" w14:textId="77777777" w:rsidR="005E37C1" w:rsidRPr="005E37C1" w:rsidRDefault="005E37C1" w:rsidP="005E37C1">
            <w:pPr>
              <w:spacing w:after="120" w:line="360" w:lineRule="auto"/>
              <w:ind w:firstLine="420"/>
              <w:rPr>
                <w:rFonts w:hint="eastAsia"/>
              </w:rPr>
            </w:pPr>
            <w:r>
              <w:rPr>
                <w:rFonts w:hint="eastAsia"/>
              </w:rPr>
              <w:t>货车—无人机协同</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EB09361" w14:textId="77777777" w:rsidR="005E37C1" w:rsidRPr="005E37C1" w:rsidRDefault="005E37C1" w:rsidP="005E37C1">
            <w:pPr>
              <w:spacing w:after="120" w:line="360" w:lineRule="auto"/>
              <w:ind w:firstLine="420"/>
              <w:rPr>
                <w:rFonts w:hint="eastAsia"/>
              </w:rPr>
            </w:pPr>
            <w:r>
              <w:rPr>
                <w:rFonts w:hint="eastAsia"/>
              </w:rPr>
              <w:t>60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712CE93" w14:textId="77777777" w:rsidR="005E37C1" w:rsidRPr="005E37C1" w:rsidRDefault="005E37C1" w:rsidP="005E37C1">
            <w:pPr>
              <w:spacing w:after="120" w:line="360" w:lineRule="auto"/>
              <w:ind w:firstLine="420"/>
              <w:rPr>
                <w:rFonts w:hint="eastAsia"/>
              </w:rPr>
            </w:pPr>
            <w:r>
              <w:rPr>
                <w:rFonts w:hint="eastAsia"/>
              </w:rPr>
              <w:t>37.7</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78BAB2E" w14:textId="77777777" w:rsidR="005E37C1" w:rsidRPr="005E37C1" w:rsidRDefault="005E37C1" w:rsidP="005E37C1">
            <w:pPr>
              <w:spacing w:after="120" w:line="360" w:lineRule="auto"/>
              <w:ind w:firstLine="420"/>
              <w:rPr>
                <w:rFonts w:hint="eastAsia"/>
              </w:rPr>
            </w:pPr>
            <w:r>
              <w:rPr>
                <w:rFonts w:hint="eastAsia"/>
              </w:rPr>
              <w:t>25.6</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432CC04" w14:textId="77777777" w:rsidR="005E37C1" w:rsidRPr="005E37C1" w:rsidRDefault="005E37C1" w:rsidP="005E37C1">
            <w:pPr>
              <w:spacing w:after="120" w:line="360" w:lineRule="auto"/>
              <w:ind w:firstLine="420"/>
              <w:rPr>
                <w:rFonts w:hint="eastAsia"/>
              </w:rPr>
            </w:pPr>
            <w:r>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BC99A28" w14:textId="77777777" w:rsidR="005E37C1" w:rsidRPr="005E37C1" w:rsidRDefault="005E37C1" w:rsidP="005E37C1">
            <w:pPr>
              <w:spacing w:after="120" w:line="360" w:lineRule="auto"/>
              <w:ind w:firstLine="420"/>
              <w:rPr>
                <w:rFonts w:hint="eastAsia"/>
              </w:rPr>
            </w:pPr>
            <w:r>
              <w:rPr>
                <w:rFonts w:hint="eastAsia"/>
              </w:rPr>
              <w:t>56</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02BCF2A" w14:textId="77777777" w:rsidR="005E37C1" w:rsidRPr="005E37C1" w:rsidRDefault="005E37C1" w:rsidP="005E37C1">
            <w:pPr>
              <w:spacing w:after="120" w:line="360" w:lineRule="auto"/>
              <w:ind w:firstLine="420"/>
              <w:rPr>
                <w:rFonts w:hint="eastAsia"/>
              </w:rPr>
            </w:pPr>
            <w:r>
              <w:rPr>
                <w:rFonts w:hint="eastAsia"/>
              </w:rPr>
              <w:t>4</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BB767E8" w14:textId="77777777" w:rsidR="005E37C1" w:rsidRPr="005E37C1" w:rsidRDefault="005E37C1" w:rsidP="005E37C1">
            <w:pPr>
              <w:spacing w:after="120" w:line="360" w:lineRule="auto"/>
              <w:ind w:firstLine="420"/>
              <w:rPr>
                <w:rFonts w:hint="eastAsia"/>
              </w:rPr>
            </w:pPr>
            <w:r>
              <w:rPr>
                <w:rFonts w:hint="eastAsia"/>
              </w:rPr>
              <w:t>0%</w:t>
            </w:r>
          </w:p>
        </w:tc>
      </w:tr>
      <w:tr w:rsidR="005E37C1" w:rsidRPr="005E37C1" w14:paraId="740D171B"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60837482" w14:textId="77777777" w:rsidR="005E37C1" w:rsidRPr="005E37C1" w:rsidRDefault="005E37C1" w:rsidP="005E37C1">
            <w:pPr>
              <w:spacing w:after="120" w:line="360" w:lineRule="auto"/>
              <w:ind w:firstLine="420"/>
              <w:rPr>
                <w:rFonts w:hint="eastAsia"/>
              </w:rPr>
            </w:pPr>
            <w:r>
              <w:rPr>
                <w:rFonts w:hint="eastAsia"/>
              </w:rPr>
              <w:t>纯无人机</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E1976D2" w14:textId="77777777" w:rsidR="005E37C1" w:rsidRPr="005E37C1" w:rsidRDefault="005E37C1" w:rsidP="005E37C1">
            <w:pPr>
              <w:spacing w:after="120" w:line="360" w:lineRule="auto"/>
              <w:ind w:firstLine="420"/>
              <w:rPr>
                <w:rFonts w:hint="eastAsia"/>
              </w:rPr>
            </w:pPr>
            <w:r>
              <w:rPr>
                <w:rFonts w:hint="eastAsia"/>
              </w:rPr>
              <w:t>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1F016BB" w14:textId="77777777" w:rsidR="005E37C1" w:rsidRPr="005E37C1" w:rsidRDefault="005E37C1" w:rsidP="005E37C1">
            <w:pPr>
              <w:spacing w:after="120" w:line="360" w:lineRule="auto"/>
              <w:ind w:firstLine="420"/>
              <w:rPr>
                <w:rFonts w:hint="eastAsia"/>
              </w:rPr>
            </w:pPr>
            <w:r>
              <w:rPr>
                <w:rFonts w:hint="eastAsia"/>
              </w:rPr>
              <w:t>—</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2A4BF81" w14:textId="77777777" w:rsidR="005E37C1" w:rsidRPr="005E37C1" w:rsidRDefault="005E37C1" w:rsidP="005E37C1">
            <w:pPr>
              <w:spacing w:after="120" w:line="360" w:lineRule="auto"/>
              <w:ind w:firstLine="420"/>
              <w:rPr>
                <w:rFonts w:hint="eastAsia"/>
              </w:rPr>
            </w:pPr>
            <w:r>
              <w:rPr>
                <w:rFonts w:hint="eastAsia"/>
              </w:rPr>
              <w:t>—</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5537AD9" w14:textId="77777777" w:rsidR="005E37C1" w:rsidRPr="005E37C1" w:rsidRDefault="005E37C1" w:rsidP="005E37C1">
            <w:pPr>
              <w:spacing w:after="120" w:line="360" w:lineRule="auto"/>
              <w:ind w:firstLine="420"/>
              <w:rPr>
                <w:rFonts w:hint="eastAsia"/>
              </w:rPr>
            </w:pPr>
            <w:r>
              <w:rPr>
                <w:rFonts w:hint="eastAsia"/>
              </w:rPr>
              <w:t>—</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E9CBF81" w14:textId="77777777" w:rsidR="005E37C1" w:rsidRPr="005E37C1" w:rsidRDefault="005E37C1" w:rsidP="005E37C1">
            <w:pPr>
              <w:spacing w:after="120" w:line="360" w:lineRule="auto"/>
              <w:ind w:firstLine="420"/>
              <w:rPr>
                <w:rFonts w:hint="eastAsia"/>
              </w:rPr>
            </w:pPr>
            <w:r>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E6BAE8C" w14:textId="77777777" w:rsidR="005E37C1" w:rsidRPr="005E37C1" w:rsidRDefault="005E37C1" w:rsidP="005E37C1">
            <w:pPr>
              <w:spacing w:after="120" w:line="360" w:lineRule="auto"/>
              <w:ind w:firstLine="420"/>
              <w:rPr>
                <w:rFonts w:hint="eastAsia"/>
              </w:rPr>
            </w:pPr>
            <w:r>
              <w:rPr>
                <w:rFonts w:hint="eastAsia"/>
              </w:rPr>
              <w:t>0</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4142645" w14:textId="77777777" w:rsidR="005E37C1" w:rsidRPr="005E37C1" w:rsidRDefault="005E37C1" w:rsidP="005E37C1">
            <w:pPr>
              <w:spacing w:after="120" w:line="360" w:lineRule="auto"/>
              <w:ind w:firstLine="420"/>
              <w:rPr>
                <w:rFonts w:hint="eastAsia"/>
              </w:rPr>
            </w:pPr>
            <w:r>
              <w:rPr>
                <w:rFonts w:hint="eastAsia"/>
              </w:rPr>
              <w:t>—</w:t>
            </w:r>
          </w:p>
        </w:tc>
      </w:tr>
      <w:tr w:rsidR="005E37C1" w:rsidRPr="005E37C1" w14:paraId="632B3683"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53C522F" w14:textId="77777777" w:rsidR="005E37C1" w:rsidRPr="005E37C1" w:rsidRDefault="005E37C1" w:rsidP="005E37C1">
            <w:pPr>
              <w:spacing w:after="120" w:line="360" w:lineRule="auto"/>
              <w:ind w:firstLine="420"/>
              <w:rPr>
                <w:rFonts w:hint="eastAsia"/>
              </w:rPr>
            </w:pPr>
            <w:r>
              <w:rPr>
                <w:rFonts w:hint="eastAsia"/>
              </w:rPr>
              <w:t>协同(加倍无人机)</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62993CA" w14:textId="77777777" w:rsidR="005E37C1" w:rsidRPr="005E37C1" w:rsidRDefault="005E37C1" w:rsidP="005E37C1">
            <w:pPr>
              <w:spacing w:after="120" w:line="360" w:lineRule="auto"/>
              <w:ind w:firstLine="420"/>
              <w:rPr>
                <w:rFonts w:hint="eastAsia"/>
              </w:rPr>
            </w:pPr>
            <w:r>
              <w:rPr>
                <w:rFonts w:hint="eastAsia"/>
              </w:rPr>
              <w:t>60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417877E" w14:textId="77777777" w:rsidR="005E37C1" w:rsidRPr="005E37C1" w:rsidRDefault="005E37C1" w:rsidP="005E37C1">
            <w:pPr>
              <w:spacing w:after="120" w:line="360" w:lineRule="auto"/>
              <w:ind w:firstLine="420"/>
              <w:rPr>
                <w:rFonts w:hint="eastAsia"/>
              </w:rPr>
            </w:pPr>
            <w:r>
              <w:rPr>
                <w:rFonts w:hint="eastAsia"/>
              </w:rPr>
              <w:t>37.7</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5B5E82D" w14:textId="77777777" w:rsidR="005E37C1" w:rsidRPr="005E37C1" w:rsidRDefault="005E37C1" w:rsidP="005E37C1">
            <w:pPr>
              <w:spacing w:after="120" w:line="360" w:lineRule="auto"/>
              <w:ind w:firstLine="420"/>
              <w:rPr>
                <w:rFonts w:hint="eastAsia"/>
              </w:rPr>
            </w:pPr>
            <w:r>
              <w:rPr>
                <w:rFonts w:hint="eastAsia"/>
              </w:rPr>
              <w:t>25.6</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E990CC4" w14:textId="77777777" w:rsidR="005E37C1" w:rsidRPr="005E37C1" w:rsidRDefault="005E37C1" w:rsidP="005E37C1">
            <w:pPr>
              <w:spacing w:after="120" w:line="360" w:lineRule="auto"/>
              <w:ind w:firstLine="420"/>
              <w:rPr>
                <w:rFonts w:hint="eastAsia"/>
              </w:rPr>
            </w:pPr>
            <w:r>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08BB629" w14:textId="77777777" w:rsidR="005E37C1" w:rsidRPr="005E37C1" w:rsidRDefault="005E37C1" w:rsidP="005E37C1">
            <w:pPr>
              <w:spacing w:after="120" w:line="360" w:lineRule="auto"/>
              <w:ind w:firstLine="420"/>
              <w:rPr>
                <w:rFonts w:hint="eastAsia"/>
              </w:rPr>
            </w:pPr>
            <w:r>
              <w:rPr>
                <w:rFonts w:hint="eastAsia"/>
              </w:rPr>
              <w:t>56</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AD81F81" w14:textId="77777777" w:rsidR="005E37C1" w:rsidRPr="005E37C1" w:rsidRDefault="005E37C1" w:rsidP="005E37C1">
            <w:pPr>
              <w:spacing w:after="120" w:line="360" w:lineRule="auto"/>
              <w:ind w:firstLine="420"/>
              <w:rPr>
                <w:rFonts w:hint="eastAsia"/>
              </w:rPr>
            </w:pPr>
            <w:r>
              <w:rPr>
                <w:rFonts w:hint="eastAsia"/>
              </w:rPr>
              <w:t>4</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03D852F" w14:textId="77777777" w:rsidR="005E37C1" w:rsidRPr="005E37C1" w:rsidRDefault="005E37C1" w:rsidP="005E37C1">
            <w:pPr>
              <w:spacing w:after="120" w:line="360" w:lineRule="auto"/>
              <w:ind w:firstLine="420"/>
              <w:rPr>
                <w:rFonts w:hint="eastAsia"/>
              </w:rPr>
            </w:pPr>
            <w:r>
              <w:rPr>
                <w:rFonts w:hint="eastAsia"/>
              </w:rPr>
              <w:t>0%</w:t>
            </w:r>
          </w:p>
        </w:tc>
      </w:tr>
    </w:tbl>
    <w:p w14:paraId="0BD722A6" w14:textId="77777777" w:rsidR="005E37C1" w:rsidRPr="005E37C1" w:rsidRDefault="005E37C1" w:rsidP="005E37C1">
      <w:pPr>
        <w:spacing w:after="120" w:line="360" w:lineRule="auto"/>
        <w:ind w:firstLine="420"/>
        <w:rPr>
          <w:rFonts w:hint="eastAsia"/>
        </w:rPr>
      </w:pPr>
      <w:r>
        <w:rPr>
          <w:rFonts w:hint="eastAsia"/>
          <w:i/>
          <w:iCs/>
        </w:rPr>
        <w:t>[图2  物资配送优化结果：(a)各方案Makespan对比；(b)分类时间窗满足率；(c)无人机数量敏感性]</w:t>
      </w:r>
    </w:p>
    <w:p w14:paraId="5758F2B9"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图2  物资配送优化结果。Fig.2 Supply delivery optimization results.</w:t>
      </w:r>
    </w:p>
    <w:p w14:paraId="0A649ACC"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物资配送优化结果揭示以下重要发现：（1）就地避难人口显著扩大了物资需求。ERPG分区策略将约41.3万人划为就地避难，其防护设备和基础保障需求使配送任务从40项增至70项，体现了疏散与配送的实质耦合。纯货车方案完成61项任务（完成率87.1%），所有生命救援类物资均在30 min硬时间窗内送达。（2）货车—无人机协同增加了接力配送能力。协同方案中56项任务通过货车直送完成，4项通过中转接力完成（较原场景的1项显著增加），接力模式有效覆盖了封闭区内侧的需求点。但协同方案完成60项任务（较纯货车少1项），原因在于部分车辆执行接力任务耗时较长，减少了可用于其他任务的运力。（3）纯无人机方案不可行，原因在于大部分物资需求量超出无人机25 kg的载重限制。（4）9项未完成任务集中在就地避难区域的大批量防护设备配送，反映了供应点库存约束——后续可通过增设应急仓库加以缓解。</w:t>
      </w:r>
    </w:p>
    <w:p w14:paraId="509333B0"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lastRenderedPageBreak/>
        <w:t>4.4  人员疏散优化结果</w:t>
      </w:r>
    </w:p>
    <w:p w14:paraId="3A32CDE4"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疏散方案对比结果如表7所示。</w:t>
      </w:r>
    </w:p>
    <w:p w14:paraId="4A116D55" w14:textId="77777777" w:rsidR="005E37C1" w:rsidRPr="005E37C1" w:rsidRDefault="005E37C1" w:rsidP="005E37C1">
      <w:pPr>
        <w:spacing w:after="120" w:line="360" w:lineRule="auto"/>
        <w:ind w:firstLine="420"/>
        <w:rPr>
          <w:rFonts w:hint="eastAsia"/>
        </w:rPr>
      </w:pPr>
      <w:r>
        <w:rPr>
          <w:rFonts w:hint="eastAsia"/>
          <w:b/>
          <w:bCs/>
        </w:rPr>
        <w:t>表7  疏散方案对比 / Table 7  Evacuation scheme comparison</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1726"/>
      </w:tblGrid>
      <w:tr w:rsidR="005E37C1" w:rsidRPr="005E37C1" w14:paraId="5BCE9C46" w14:textId="77777777" w:rsidTr="005E37C1">
        <w:tc>
          <w:tcPr>
            <w:tcW w:w="22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99C36FD" w14:textId="77777777" w:rsidR="005E37C1" w:rsidRPr="005E37C1" w:rsidRDefault="005E37C1" w:rsidP="005E37C1">
            <w:pPr>
              <w:spacing w:after="120" w:line="360" w:lineRule="auto"/>
              <w:ind w:firstLine="420"/>
              <w:rPr>
                <w:rFonts w:hint="eastAsia"/>
              </w:rPr>
            </w:pPr>
            <w:r>
              <w:rPr>
                <w:rFonts w:hint="eastAsia"/>
                <w:b/>
                <w:bCs/>
              </w:rPr>
              <w:t>方案</w:t>
            </w:r>
          </w:p>
        </w:tc>
        <w:tc>
          <w:tcPr>
            <w:tcW w:w="17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8F64AF9" w14:textId="77777777" w:rsidR="005E37C1" w:rsidRPr="005E37C1" w:rsidRDefault="005E37C1" w:rsidP="005E37C1">
            <w:pPr>
              <w:spacing w:after="120" w:line="360" w:lineRule="auto"/>
              <w:ind w:firstLine="420"/>
              <w:rPr>
                <w:rFonts w:hint="eastAsia"/>
              </w:rPr>
            </w:pPr>
            <w:r>
              <w:rPr>
                <w:rFonts w:hint="eastAsia"/>
                <w:b/>
                <w:bCs/>
              </w:rPr>
              <w:t>已疏散(人)</w:t>
            </w:r>
          </w:p>
        </w:tc>
        <w:tc>
          <w:tcPr>
            <w:tcW w:w="17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BA6FBBD" w14:textId="77777777" w:rsidR="005E37C1" w:rsidRPr="005E37C1" w:rsidRDefault="005E37C1" w:rsidP="005E37C1">
            <w:pPr>
              <w:spacing w:after="120" w:line="360" w:lineRule="auto"/>
              <w:ind w:firstLine="420"/>
              <w:rPr>
                <w:rFonts w:hint="eastAsia"/>
              </w:rPr>
            </w:pPr>
            <w:r>
              <w:rPr>
                <w:rFonts w:hint="eastAsia"/>
                <w:b/>
                <w:bCs/>
              </w:rPr>
              <w:t>未疏散(人)</w:t>
            </w:r>
          </w:p>
        </w:tc>
        <w:tc>
          <w:tcPr>
            <w:tcW w:w="17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0144DDE" w14:textId="77777777" w:rsidR="005E37C1" w:rsidRPr="005E37C1" w:rsidRDefault="005E37C1" w:rsidP="005E37C1">
            <w:pPr>
              <w:spacing w:after="120" w:line="360" w:lineRule="auto"/>
              <w:ind w:firstLine="420"/>
              <w:rPr>
                <w:rFonts w:hint="eastAsia"/>
              </w:rPr>
            </w:pPr>
            <w:r>
              <w:rPr>
                <w:rFonts w:hint="eastAsia"/>
                <w:b/>
                <w:bCs/>
              </w:rPr>
              <w:t>疏散率(%)</w:t>
            </w:r>
          </w:p>
        </w:tc>
        <w:tc>
          <w:tcPr>
            <w:tcW w:w="17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75FBE6B5" w14:textId="77777777" w:rsidR="005E37C1" w:rsidRPr="005E37C1" w:rsidRDefault="005E37C1" w:rsidP="005E37C1">
            <w:pPr>
              <w:spacing w:after="120" w:line="360" w:lineRule="auto"/>
              <w:ind w:firstLine="420"/>
              <w:rPr>
                <w:rFonts w:hint="eastAsia"/>
              </w:rPr>
            </w:pPr>
            <w:r>
              <w:rPr>
                <w:rFonts w:hint="eastAsia"/>
                <w:b/>
                <w:bCs/>
              </w:rPr>
              <w:t>累计风险</w:t>
            </w:r>
          </w:p>
        </w:tc>
      </w:tr>
      <w:tr w:rsidR="005E37C1" w:rsidRPr="005E37C1" w14:paraId="6C2D9D84"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204E0046" w14:textId="77777777" w:rsidR="005E37C1" w:rsidRPr="005E37C1" w:rsidRDefault="005E37C1" w:rsidP="005E37C1">
            <w:pPr>
              <w:spacing w:after="120" w:line="360" w:lineRule="auto"/>
              <w:ind w:firstLine="420"/>
              <w:rPr>
                <w:rFonts w:hint="eastAsia"/>
              </w:rPr>
            </w:pPr>
            <w:r>
              <w:rPr>
                <w:rFonts w:hint="eastAsia"/>
              </w:rPr>
              <w:t>ERPG分区+弹性优先级（基准）</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B6D44E9" w14:textId="77777777" w:rsidR="005E37C1" w:rsidRPr="005E37C1" w:rsidRDefault="005E37C1" w:rsidP="005E37C1">
            <w:pPr>
              <w:spacing w:after="120" w:line="360" w:lineRule="auto"/>
              <w:ind w:firstLine="420"/>
              <w:rPr>
                <w:rFonts w:hint="eastAsia"/>
              </w:rPr>
            </w:pPr>
            <w:r>
              <w:rPr>
                <w:rFonts w:hint="eastAsia"/>
              </w:rPr>
              <w:t>5,545</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9F9836C" w14:textId="77777777" w:rsidR="005E37C1" w:rsidRPr="005E37C1" w:rsidRDefault="005E37C1" w:rsidP="005E37C1">
            <w:pPr>
              <w:spacing w:after="120" w:line="360" w:lineRule="auto"/>
              <w:ind w:firstLine="420"/>
              <w:rPr>
                <w:rFonts w:hint="eastAsia"/>
              </w:rPr>
            </w:pPr>
            <w:r>
              <w:rPr>
                <w:rFonts w:hint="eastAsia"/>
              </w:rPr>
              <w:t>8,285</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433ABE9" w14:textId="77777777" w:rsidR="005E37C1" w:rsidRPr="005E37C1" w:rsidRDefault="005E37C1" w:rsidP="005E37C1">
            <w:pPr>
              <w:spacing w:after="120" w:line="360" w:lineRule="auto"/>
              <w:ind w:firstLine="420"/>
              <w:rPr>
                <w:rFonts w:hint="eastAsia"/>
              </w:rPr>
            </w:pPr>
            <w:r>
              <w:rPr>
                <w:rFonts w:hint="eastAsia"/>
              </w:rPr>
              <w:t>40.1</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D56F624" w14:textId="77777777" w:rsidR="005E37C1" w:rsidRPr="005E37C1" w:rsidRDefault="005E37C1" w:rsidP="005E37C1">
            <w:pPr>
              <w:spacing w:after="120" w:line="360" w:lineRule="auto"/>
              <w:ind w:firstLine="420"/>
              <w:rPr>
                <w:rFonts w:hint="eastAsia"/>
              </w:rPr>
            </w:pPr>
            <w:r>
              <w:rPr>
                <w:rFonts w:hint="eastAsia"/>
              </w:rPr>
              <w:t>89,980</w:t>
            </w:r>
          </w:p>
        </w:tc>
      </w:tr>
      <w:tr w:rsidR="005E37C1" w:rsidRPr="005E37C1" w14:paraId="6E834C6E"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2D00B403" w14:textId="77777777" w:rsidR="005E37C1" w:rsidRPr="005E37C1" w:rsidRDefault="005E37C1" w:rsidP="005E37C1">
            <w:pPr>
              <w:spacing w:after="120" w:line="360" w:lineRule="auto"/>
              <w:ind w:firstLine="420"/>
              <w:rPr>
                <w:rFonts w:hint="eastAsia"/>
              </w:rPr>
            </w:pPr>
            <w:r>
              <w:rPr>
                <w:rFonts w:hint="eastAsia"/>
              </w:rPr>
              <w:t>无直升机</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F068F84" w14:textId="77777777" w:rsidR="005E37C1" w:rsidRPr="005E37C1" w:rsidRDefault="005E37C1" w:rsidP="005E37C1">
            <w:pPr>
              <w:spacing w:after="120" w:line="360" w:lineRule="auto"/>
              <w:ind w:firstLine="420"/>
              <w:rPr>
                <w:rFonts w:hint="eastAsia"/>
              </w:rPr>
            </w:pPr>
            <w:r>
              <w:rPr>
                <w:rFonts w:hint="eastAsia"/>
              </w:rPr>
              <w:t>5,473</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9BC65D1" w14:textId="77777777" w:rsidR="005E37C1" w:rsidRPr="005E37C1" w:rsidRDefault="005E37C1" w:rsidP="005E37C1">
            <w:pPr>
              <w:spacing w:after="120" w:line="360" w:lineRule="auto"/>
              <w:ind w:firstLine="420"/>
              <w:rPr>
                <w:rFonts w:hint="eastAsia"/>
              </w:rPr>
            </w:pPr>
            <w:r>
              <w:rPr>
                <w:rFonts w:hint="eastAsia"/>
              </w:rPr>
              <w:t>8,357</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B9AB282" w14:textId="77777777" w:rsidR="005E37C1" w:rsidRPr="005E37C1" w:rsidRDefault="005E37C1" w:rsidP="005E37C1">
            <w:pPr>
              <w:spacing w:after="120" w:line="360" w:lineRule="auto"/>
              <w:ind w:firstLine="420"/>
              <w:rPr>
                <w:rFonts w:hint="eastAsia"/>
              </w:rPr>
            </w:pPr>
            <w:r>
              <w:rPr>
                <w:rFonts w:hint="eastAsia"/>
              </w:rPr>
              <w:t>39.6</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8BEE5D1" w14:textId="77777777" w:rsidR="005E37C1" w:rsidRPr="005E37C1" w:rsidRDefault="005E37C1" w:rsidP="005E37C1">
            <w:pPr>
              <w:spacing w:after="120" w:line="360" w:lineRule="auto"/>
              <w:ind w:firstLine="420"/>
              <w:rPr>
                <w:rFonts w:hint="eastAsia"/>
              </w:rPr>
            </w:pPr>
            <w:r>
              <w:rPr>
                <w:rFonts w:hint="eastAsia"/>
              </w:rPr>
              <w:t>93,903</w:t>
            </w:r>
          </w:p>
        </w:tc>
      </w:tr>
      <w:tr w:rsidR="005E37C1" w:rsidRPr="005E37C1" w14:paraId="44319596"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E17F912" w14:textId="77777777" w:rsidR="005E37C1" w:rsidRPr="005E37C1" w:rsidRDefault="005E37C1" w:rsidP="005E37C1">
            <w:pPr>
              <w:spacing w:after="120" w:line="360" w:lineRule="auto"/>
              <w:ind w:firstLine="420"/>
              <w:rPr>
                <w:rFonts w:hint="eastAsia"/>
              </w:rPr>
            </w:pPr>
            <w:r>
              <w:rPr>
                <w:rFonts w:hint="eastAsia"/>
              </w:rPr>
              <w:t>无地铁</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8BAEA9A" w14:textId="77777777" w:rsidR="005E37C1" w:rsidRPr="005E37C1" w:rsidRDefault="005E37C1" w:rsidP="005E37C1">
            <w:pPr>
              <w:spacing w:after="120" w:line="360" w:lineRule="auto"/>
              <w:ind w:firstLine="420"/>
              <w:rPr>
                <w:rFonts w:hint="eastAsia"/>
              </w:rPr>
            </w:pPr>
            <w:r>
              <w:rPr>
                <w:rFonts w:hint="eastAsia"/>
              </w:rPr>
              <w:t>5,605</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5C6DF39" w14:textId="77777777" w:rsidR="005E37C1" w:rsidRPr="005E37C1" w:rsidRDefault="005E37C1" w:rsidP="005E37C1">
            <w:pPr>
              <w:spacing w:after="120" w:line="360" w:lineRule="auto"/>
              <w:ind w:firstLine="420"/>
              <w:rPr>
                <w:rFonts w:hint="eastAsia"/>
              </w:rPr>
            </w:pPr>
            <w:r>
              <w:rPr>
                <w:rFonts w:hint="eastAsia"/>
              </w:rPr>
              <w:t>8,225</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96E8045" w14:textId="77777777" w:rsidR="005E37C1" w:rsidRPr="005E37C1" w:rsidRDefault="005E37C1" w:rsidP="005E37C1">
            <w:pPr>
              <w:spacing w:after="120" w:line="360" w:lineRule="auto"/>
              <w:ind w:firstLine="420"/>
              <w:rPr>
                <w:rFonts w:hint="eastAsia"/>
              </w:rPr>
            </w:pPr>
            <w:r>
              <w:rPr>
                <w:rFonts w:hint="eastAsia"/>
              </w:rPr>
              <w:t>40.5</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F3BCCEE" w14:textId="77777777" w:rsidR="005E37C1" w:rsidRPr="005E37C1" w:rsidRDefault="005E37C1" w:rsidP="005E37C1">
            <w:pPr>
              <w:spacing w:after="120" w:line="360" w:lineRule="auto"/>
              <w:ind w:firstLine="420"/>
              <w:rPr>
                <w:rFonts w:hint="eastAsia"/>
              </w:rPr>
            </w:pPr>
            <w:r>
              <w:rPr>
                <w:rFonts w:hint="eastAsia"/>
              </w:rPr>
              <w:t>84,692</w:t>
            </w:r>
          </w:p>
        </w:tc>
      </w:tr>
      <w:tr w:rsidR="005E37C1" w:rsidRPr="005E37C1" w14:paraId="0A53E9C2"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D446E23" w14:textId="77777777" w:rsidR="005E37C1" w:rsidRPr="005E37C1" w:rsidRDefault="005E37C1" w:rsidP="005E37C1">
            <w:pPr>
              <w:spacing w:after="120" w:line="360" w:lineRule="auto"/>
              <w:ind w:firstLine="420"/>
              <w:rPr>
                <w:rFonts w:hint="eastAsia"/>
              </w:rPr>
            </w:pPr>
            <w:r>
              <w:rPr>
                <w:rFonts w:hint="eastAsia"/>
              </w:rPr>
              <w:t>严格优先级</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5421BF8" w14:textId="77777777" w:rsidR="005E37C1" w:rsidRPr="005E37C1" w:rsidRDefault="005E37C1" w:rsidP="005E37C1">
            <w:pPr>
              <w:spacing w:after="120" w:line="360" w:lineRule="auto"/>
              <w:ind w:firstLine="420"/>
              <w:rPr>
                <w:rFonts w:hint="eastAsia"/>
              </w:rPr>
            </w:pPr>
            <w:r>
              <w:rPr>
                <w:rFonts w:hint="eastAsia"/>
              </w:rPr>
              <w:t>5,545</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437B81C" w14:textId="77777777" w:rsidR="005E37C1" w:rsidRPr="005E37C1" w:rsidRDefault="005E37C1" w:rsidP="005E37C1">
            <w:pPr>
              <w:spacing w:after="120" w:line="360" w:lineRule="auto"/>
              <w:ind w:firstLine="420"/>
              <w:rPr>
                <w:rFonts w:hint="eastAsia"/>
              </w:rPr>
            </w:pPr>
            <w:r>
              <w:rPr>
                <w:rFonts w:hint="eastAsia"/>
              </w:rPr>
              <w:t>8,285</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89EDACB" w14:textId="77777777" w:rsidR="005E37C1" w:rsidRPr="005E37C1" w:rsidRDefault="005E37C1" w:rsidP="005E37C1">
            <w:pPr>
              <w:spacing w:after="120" w:line="360" w:lineRule="auto"/>
              <w:ind w:firstLine="420"/>
              <w:rPr>
                <w:rFonts w:hint="eastAsia"/>
              </w:rPr>
            </w:pPr>
            <w:r>
              <w:rPr>
                <w:rFonts w:hint="eastAsia"/>
              </w:rPr>
              <w:t>40.1</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13C88AC" w14:textId="77777777" w:rsidR="005E37C1" w:rsidRPr="005E37C1" w:rsidRDefault="005E37C1" w:rsidP="005E37C1">
            <w:pPr>
              <w:spacing w:after="120" w:line="360" w:lineRule="auto"/>
              <w:ind w:firstLine="420"/>
              <w:rPr>
                <w:rFonts w:hint="eastAsia"/>
              </w:rPr>
            </w:pPr>
            <w:r>
              <w:rPr>
                <w:rFonts w:hint="eastAsia"/>
              </w:rPr>
              <w:t>89,980</w:t>
            </w:r>
          </w:p>
        </w:tc>
      </w:tr>
    </w:tbl>
    <w:p w14:paraId="503B5E97" w14:textId="77777777" w:rsidR="005E37C1" w:rsidRPr="005E37C1" w:rsidRDefault="005E37C1" w:rsidP="005E37C1">
      <w:pPr>
        <w:spacing w:after="120" w:line="360" w:lineRule="auto"/>
        <w:ind w:firstLine="420"/>
        <w:rPr>
          <w:rFonts w:hint="eastAsia"/>
        </w:rPr>
      </w:pPr>
      <w:r>
        <w:rPr>
          <w:rFonts w:hint="eastAsia"/>
          <w:i/>
          <w:iCs/>
        </w:rPr>
        <w:t>[图3  疏散优化结果：(a)疏散完成率对比；(b)累计风险对比；(c)救护车敏感性]</w:t>
      </w:r>
    </w:p>
    <w:p w14:paraId="6687ED51" w14:textId="77777777" w:rsidR="00700088" w:rsidRDefault="00700088" w:rsidP="0070008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57C3F0DB" wp14:editId="12FBDF26">
            <wp:extent cx="5731510" cy="2023110"/>
            <wp:effectExtent l="0" t="0" r="0" b="0"/>
            <wp:docPr id="1700424610" name="图片 2" descr="图表, 条形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17057" name="图片 2" descr="图表, 条形图  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23110"/>
                    </a:xfrm>
                    <a:prstGeom prst="rect">
                      <a:avLst/>
                    </a:prstGeom>
                  </pic:spPr>
                </pic:pic>
              </a:graphicData>
            </a:graphic>
          </wp:inline>
        </w:drawing>
      </w:r>
    </w:p>
    <w:p w14:paraId="2CD85C4D" w14:textId="3A79DEBB" w:rsidR="00613BFA" w:rsidRPr="00700088" w:rsidRDefault="00700088" w:rsidP="00700088">
      <w:pPr>
        <w:spacing w:beforeLines="50" w:before="120" w:after="100" w:line="360" w:lineRule="auto"/>
        <w:rPr>
          <w:rFonts w:ascii="Times New Roman" w:eastAsia="仿宋" w:hAnsi="Times New Roman" w:cs="Times New Roman" w:hint="eastAsia"/>
          <w:sz w:val="24"/>
          <w:szCs w:val="24"/>
        </w:rPr>
      </w:pPr>
      <w:r>
        <w:rPr>
          <w:rFonts w:ascii="Times New Roman" w:eastAsia="仿宋" w:hAnsi="Times New Roman" w:cs="Times New Roman"/>
          <w:sz w:val="24"/>
          <w:szCs w:val="24"/>
        </w:rPr>
        <w:t>图3　疏散优化结果：(a)疏散完成率对比；(b)累计风险对比；(c)救护车敏感性。</w:t>
      </w:r>
    </w:p>
    <w:p w14:paraId="10A8A528" w14:textId="0007230D"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图3  疏散优化结果。Fig.3 Evacuation optimization results.</w:t>
      </w:r>
    </w:p>
    <w:p w14:paraId="30D4A6AE"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疏散分析揭示以下关键发现：（1）ERPG分区策略有效聚焦疏散资源。基于ERPG浓度分区的差异化响应策略将需主动疏散人口从传统圆形范围的23.5万人缩减至1.38万人，基准方案180 min内疏散率达40.1%（5,545人），相比无分区策略的9.1%显著提升。（2）k=2类脆弱群体实现完全疏散。ERPG-2区域内5,302名老人、儿童和残障人士全部疏散（100%完成率），该区域整体疏散率达93.1%，验证了优先级调度对脆弱群体的保护效果。（3）k=1类重伤人员成为新的瓶颈。由于k=1类仅可使用救护车和直升机，而ERPG-1区域按2%比例估算的重伤人口高达约8,100人，远超15辆救护车和3架直升机的运力上限，导致k=1疏散率仅为2.8%（243人）。</w:t>
        <w:lastRenderedPageBreak/>
        <w:t>（4）移除直升机后疏散率从40.1%降至39.6%，累计风险从89,980增至93,903（增加4.4%），主要体现在重伤人员等待时间延长。（5）移除地铁的影响较预期小（40.1%→40.5%），因为当前ERPG分区策略下的疏散人群以k=1和k=2为主，地铁主要服务k=2和k=3，而k=2已由公交和私家车覆盖——但地铁对就地避难区域的人员自发疏散仍具潜在价值。（6）弹性优先级与严格优先级的疏散率相同（均为40.1%），原因在于当前场景中没有k=3类人群被纳入疏散范围（ERPG-3区域人口为零，ERPG-2区k=3就地避难），两种策略的差异将在更大封闭区或更高泄漏速率场景下显现。</w:t>
      </w:r>
    </w:p>
    <w:p w14:paraId="690B2F0F"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4.5  韧性评估结果</w:t>
      </w:r>
    </w:p>
    <w:p w14:paraId="6D194816"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三维韧性评估结果如表8所示。</w:t>
      </w:r>
    </w:p>
    <w:p w14:paraId="7DEF5492" w14:textId="77777777" w:rsidR="005E37C1" w:rsidRPr="005E37C1" w:rsidRDefault="005E37C1" w:rsidP="005E37C1">
      <w:pPr>
        <w:spacing w:after="120" w:line="360" w:lineRule="auto"/>
        <w:ind w:firstLine="420"/>
        <w:rPr>
          <w:rFonts w:hint="eastAsia"/>
        </w:rPr>
      </w:pPr>
      <w:r>
        <w:rPr>
          <w:rFonts w:hint="eastAsia"/>
          <w:b/>
          <w:bCs/>
        </w:rPr>
        <w:t>表8  韧性评估结果 / Table 8  Resilience assessment results</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5E37C1" w:rsidRPr="005E37C1" w14:paraId="1C41FDE6" w14:textId="77777777" w:rsidTr="005E37C1">
        <w:tc>
          <w:tcPr>
            <w:tcW w:w="18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18C6A7C" w14:textId="77777777" w:rsidR="005E37C1" w:rsidRPr="005E37C1" w:rsidRDefault="005E37C1" w:rsidP="005E37C1">
            <w:pPr>
              <w:spacing w:after="120" w:line="360" w:lineRule="auto"/>
              <w:ind w:firstLine="420"/>
              <w:rPr>
                <w:rFonts w:hint="eastAsia"/>
              </w:rPr>
            </w:pPr>
            <w:r>
              <w:rPr>
                <w:rFonts w:hint="eastAsia"/>
                <w:b/>
                <w:bCs/>
              </w:rPr>
              <w:t>维度</w:t>
            </w:r>
          </w:p>
        </w:tc>
        <w:tc>
          <w:tcPr>
            <w:tcW w:w="36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2DE0437" w14:textId="77777777" w:rsidR="005E37C1" w:rsidRPr="005E37C1" w:rsidRDefault="005E37C1" w:rsidP="005E37C1">
            <w:pPr>
              <w:spacing w:after="120" w:line="360" w:lineRule="auto"/>
              <w:ind w:firstLine="420"/>
              <w:rPr>
                <w:rFonts w:hint="eastAsia"/>
              </w:rPr>
            </w:pPr>
            <w:r>
              <w:rPr>
                <w:rFonts w:hint="eastAsia"/>
                <w:b/>
                <w:bCs/>
              </w:rPr>
              <w:t>指标</w:t>
            </w:r>
          </w:p>
        </w:tc>
        <w:tc>
          <w:tcPr>
            <w:tcW w:w="36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7A54A4C4" w14:textId="77777777" w:rsidR="005E37C1" w:rsidRPr="005E37C1" w:rsidRDefault="005E37C1" w:rsidP="005E37C1">
            <w:pPr>
              <w:spacing w:after="120" w:line="360" w:lineRule="auto"/>
              <w:ind w:firstLine="420"/>
              <w:rPr>
                <w:rFonts w:hint="eastAsia"/>
              </w:rPr>
            </w:pPr>
            <w:r>
              <w:rPr>
                <w:rFonts w:hint="eastAsia"/>
                <w:b/>
                <w:bCs/>
              </w:rPr>
              <w:t>数值</w:t>
            </w:r>
          </w:p>
        </w:tc>
      </w:tr>
      <w:tr w:rsidR="005E37C1" w:rsidRPr="005E37C1" w14:paraId="3F5CF677"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2AB61C6D" w14:textId="77777777" w:rsidR="005E37C1" w:rsidRPr="005E37C1" w:rsidRDefault="005E37C1" w:rsidP="005E37C1">
            <w:pPr>
              <w:spacing w:after="120" w:line="360" w:lineRule="auto"/>
              <w:ind w:firstLine="420"/>
              <w:rPr>
                <w:rFonts w:hint="eastAsia"/>
              </w:rPr>
            </w:pPr>
            <w:r>
              <w:rPr>
                <w:rFonts w:hint="eastAsia"/>
              </w:rPr>
              <w:t>结构韧性</w:t>
            </w: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76D3A18" w14:textId="77777777" w:rsidR="005E37C1" w:rsidRPr="005E37C1" w:rsidRDefault="005E37C1" w:rsidP="005E37C1">
            <w:pPr>
              <w:spacing w:after="120" w:line="360" w:lineRule="auto"/>
              <w:ind w:firstLine="420"/>
              <w:rPr>
                <w:rFonts w:hint="eastAsia"/>
              </w:rPr>
            </w:pPr>
            <w:r>
              <w:rPr>
                <w:rFonts w:hint="eastAsia"/>
              </w:rPr>
              <w:t>道路封闭比例（1km/5km）</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45A82E9" w14:textId="77777777" w:rsidR="005E37C1" w:rsidRPr="005E37C1" w:rsidRDefault="005E37C1" w:rsidP="005E37C1">
            <w:pPr>
              <w:spacing w:after="120" w:line="360" w:lineRule="auto"/>
              <w:ind w:firstLine="420"/>
              <w:rPr>
                <w:rFonts w:hint="eastAsia"/>
              </w:rPr>
            </w:pPr>
            <w:r>
              <w:rPr>
                <w:rFonts w:hint="eastAsia"/>
              </w:rPr>
              <w:t>19.1%（96.7/505.3 km）</w:t>
            </w:r>
          </w:p>
        </w:tc>
      </w:tr>
      <w:tr w:rsidR="005E37C1" w:rsidRPr="005E37C1" w14:paraId="2DE9F187"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6C681A8E" w14:textId="77777777" w:rsidR="005E37C1" w:rsidRPr="005E37C1" w:rsidRDefault="005E37C1" w:rsidP="005E37C1">
            <w:pPr>
              <w:spacing w:after="120" w:line="360" w:lineRule="auto"/>
              <w:ind w:firstLine="420"/>
              <w:rPr>
                <w:rFonts w:hint="eastAsia"/>
              </w:rPr>
            </w:pPr>
            <w:r>
              <w:rPr>
                <w:rFonts w:hint="eastAsia"/>
              </w:rPr>
              <w:t>功能韧性</w:t>
            </w: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0CFA5EE" w14:textId="77777777" w:rsidR="005E37C1" w:rsidRPr="005E37C1" w:rsidRDefault="005E37C1" w:rsidP="005E37C1">
            <w:pPr>
              <w:spacing w:after="120" w:line="360" w:lineRule="auto"/>
              <w:ind w:firstLine="420"/>
              <w:rPr>
                <w:rFonts w:hint="eastAsia"/>
              </w:rPr>
            </w:pPr>
            <w:r>
              <w:rPr>
                <w:rFonts w:hint="eastAsia"/>
              </w:rPr>
              <w:t>物资配送完成率</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91D8E53" w14:textId="77777777" w:rsidR="005E37C1" w:rsidRPr="005E37C1" w:rsidRDefault="005E37C1" w:rsidP="005E37C1">
            <w:pPr>
              <w:spacing w:after="120" w:line="360" w:lineRule="auto"/>
              <w:ind w:firstLine="420"/>
              <w:rPr>
                <w:rFonts w:hint="eastAsia"/>
              </w:rPr>
            </w:pPr>
            <w:r>
              <w:rPr>
                <w:rFonts w:hint="eastAsia"/>
              </w:rPr>
              <w:t>85.7%</w:t>
            </w:r>
          </w:p>
        </w:tc>
      </w:tr>
      <w:tr w:rsidR="005E37C1" w:rsidRPr="005E37C1" w14:paraId="13285257"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2E386B0" w14:textId="77777777" w:rsidR="005E37C1" w:rsidRPr="005E37C1" w:rsidRDefault="005E37C1" w:rsidP="005E37C1">
            <w:pPr>
              <w:spacing w:after="120" w:line="360" w:lineRule="auto"/>
              <w:ind w:firstLine="420"/>
              <w:rPr>
                <w:rFonts w:hint="eastAsia"/>
              </w:rPr>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DB2BBB7" w14:textId="77777777" w:rsidR="005E37C1" w:rsidRPr="005E37C1" w:rsidRDefault="005E37C1" w:rsidP="005E37C1">
            <w:pPr>
              <w:spacing w:after="120" w:line="360" w:lineRule="auto"/>
              <w:ind w:firstLine="420"/>
              <w:rPr>
                <w:rFonts w:hint="eastAsia"/>
              </w:rPr>
            </w:pPr>
            <w:r>
              <w:rPr>
                <w:rFonts w:hint="eastAsia"/>
              </w:rPr>
              <w:t>物资最大完成时间（协同方案）</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CD85B02" w14:textId="77777777" w:rsidR="005E37C1" w:rsidRPr="005E37C1" w:rsidRDefault="005E37C1" w:rsidP="005E37C1">
            <w:pPr>
              <w:spacing w:after="120" w:line="360" w:lineRule="auto"/>
              <w:ind w:firstLine="420"/>
              <w:rPr>
                <w:rFonts w:hint="eastAsia"/>
              </w:rPr>
            </w:pPr>
            <w:r>
              <w:rPr>
                <w:rFonts w:hint="eastAsia"/>
              </w:rPr>
              <w:t>37.7 min</w:t>
            </w:r>
          </w:p>
        </w:tc>
      </w:tr>
      <w:tr w:rsidR="005E37C1" w:rsidRPr="005E37C1" w14:paraId="78E4BEF8"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CEB9BC4" w14:textId="77777777" w:rsidR="005E37C1" w:rsidRPr="005E37C1" w:rsidRDefault="005E37C1" w:rsidP="005E37C1">
            <w:pPr>
              <w:spacing w:after="120" w:line="360" w:lineRule="auto"/>
              <w:ind w:firstLine="420"/>
              <w:rPr>
                <w:rFonts w:hint="eastAsia"/>
              </w:rPr>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5C35E9B" w14:textId="77777777" w:rsidR="005E37C1" w:rsidRPr="005E37C1" w:rsidRDefault="005E37C1" w:rsidP="005E37C1">
            <w:pPr>
              <w:spacing w:after="120" w:line="360" w:lineRule="auto"/>
              <w:ind w:firstLine="420"/>
              <w:rPr>
                <w:rFonts w:hint="eastAsia"/>
              </w:rPr>
            </w:pPr>
            <w:r>
              <w:rPr>
                <w:rFonts w:hint="eastAsia"/>
              </w:rPr>
              <w:t>生命救援准时率</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311472F" w14:textId="77777777" w:rsidR="005E37C1" w:rsidRPr="005E37C1" w:rsidRDefault="005E37C1" w:rsidP="005E37C1">
            <w:pPr>
              <w:spacing w:after="120" w:line="360" w:lineRule="auto"/>
              <w:ind w:firstLine="420"/>
              <w:rPr>
                <w:rFonts w:hint="eastAsia"/>
              </w:rPr>
            </w:pPr>
            <w:r>
              <w:rPr>
                <w:rFonts w:hint="eastAsia"/>
              </w:rPr>
              <w:t>100%</w:t>
            </w:r>
          </w:p>
        </w:tc>
      </w:tr>
      <w:tr w:rsidR="005E37C1" w:rsidRPr="005E37C1" w14:paraId="5AA175BD"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A7F3BAF" w14:textId="77777777" w:rsidR="005E37C1" w:rsidRPr="005E37C1" w:rsidRDefault="005E37C1" w:rsidP="005E37C1">
            <w:pPr>
              <w:spacing w:after="120" w:line="360" w:lineRule="auto"/>
              <w:ind w:firstLine="420"/>
              <w:rPr>
                <w:rFonts w:hint="eastAsia"/>
              </w:rPr>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E2191B2" w14:textId="77777777" w:rsidR="005E37C1" w:rsidRPr="005E37C1" w:rsidRDefault="005E37C1" w:rsidP="005E37C1">
            <w:pPr>
              <w:spacing w:after="120" w:line="360" w:lineRule="auto"/>
              <w:ind w:firstLine="420"/>
              <w:rPr>
                <w:rFonts w:hint="eastAsia"/>
              </w:rPr>
            </w:pPr>
            <w:r>
              <w:rPr>
                <w:rFonts w:hint="eastAsia"/>
              </w:rPr>
              <w:t>疏散完成率（基准方案）</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8DF53DF" w14:textId="77777777" w:rsidR="005E37C1" w:rsidRPr="005E37C1" w:rsidRDefault="005E37C1" w:rsidP="005E37C1">
            <w:pPr>
              <w:spacing w:after="120" w:line="360" w:lineRule="auto"/>
              <w:ind w:firstLine="420"/>
              <w:rPr>
                <w:rFonts w:hint="eastAsia"/>
              </w:rPr>
            </w:pPr>
            <w:r>
              <w:rPr>
                <w:rFonts w:hint="eastAsia"/>
              </w:rPr>
              <w:t>40.1%</w:t>
            </w:r>
          </w:p>
        </w:tc>
      </w:tr>
      <w:tr w:rsidR="005E37C1" w:rsidRPr="005E37C1" w14:paraId="53B3FE40"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F2ECACB" w14:textId="77777777" w:rsidR="005E37C1" w:rsidRPr="005E37C1" w:rsidRDefault="005E37C1" w:rsidP="005E37C1">
            <w:pPr>
              <w:spacing w:after="120" w:line="360" w:lineRule="auto"/>
              <w:ind w:firstLine="420"/>
              <w:rPr>
                <w:rFonts w:hint="eastAsia"/>
              </w:rPr>
            </w:pPr>
            <w:r>
              <w:rPr>
                <w:rFonts w:hint="eastAsia"/>
              </w:rPr>
              <w:t>适应韧性</w:t>
            </w: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126C69B" w14:textId="77777777" w:rsidR="005E37C1" w:rsidRPr="005E37C1" w:rsidRDefault="005E37C1" w:rsidP="005E37C1">
            <w:pPr>
              <w:spacing w:after="120" w:line="360" w:lineRule="auto"/>
              <w:ind w:firstLine="420"/>
              <w:rPr>
                <w:rFonts w:hint="eastAsia"/>
              </w:rPr>
            </w:pPr>
            <w:r>
              <w:rPr>
                <w:rFonts w:hint="eastAsia"/>
              </w:rPr>
              <w:t>无人机接力配送任务增量</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79E01B4" w14:textId="77777777" w:rsidR="005E37C1" w:rsidRPr="005E37C1" w:rsidRDefault="005E37C1" w:rsidP="005E37C1">
            <w:pPr>
              <w:spacing w:after="120" w:line="360" w:lineRule="auto"/>
              <w:ind w:firstLine="420"/>
              <w:rPr>
                <w:rFonts w:hint="eastAsia"/>
              </w:rPr>
            </w:pPr>
            <w:r>
              <w:rPr>
                <w:rFonts w:hint="eastAsia"/>
              </w:rPr>
              <w:t>0→4项(+6.7%任务)</w:t>
            </w:r>
          </w:p>
        </w:tc>
      </w:tr>
      <w:tr w:rsidR="005E37C1" w:rsidRPr="005E37C1" w14:paraId="5DA648BF"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B2DCF5E" w14:textId="77777777" w:rsidR="005E37C1" w:rsidRPr="005E37C1" w:rsidRDefault="005E37C1" w:rsidP="005E37C1">
            <w:pPr>
              <w:spacing w:after="120" w:line="360" w:lineRule="auto"/>
              <w:ind w:firstLine="420"/>
              <w:rPr>
                <w:rFonts w:hint="eastAsia"/>
              </w:rPr>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7791520" w14:textId="77777777" w:rsidR="005E37C1" w:rsidRPr="005E37C1" w:rsidRDefault="005E37C1" w:rsidP="005E37C1">
            <w:pPr>
              <w:spacing w:after="120" w:line="360" w:lineRule="auto"/>
              <w:ind w:firstLine="420"/>
              <w:rPr>
                <w:rFonts w:hint="eastAsia"/>
              </w:rPr>
            </w:pPr>
            <w:r>
              <w:rPr>
                <w:rFonts w:hint="eastAsia"/>
              </w:rPr>
              <w:t>ERPG分区策略疏散增益</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B2C4D82" w14:textId="77777777" w:rsidR="005E37C1" w:rsidRPr="005E37C1" w:rsidRDefault="005E37C1" w:rsidP="005E37C1">
            <w:pPr>
              <w:spacing w:after="120" w:line="360" w:lineRule="auto"/>
              <w:ind w:firstLine="420"/>
              <w:rPr>
                <w:rFonts w:hint="eastAsia"/>
              </w:rPr>
            </w:pPr>
            <w:r>
              <w:rPr>
                <w:rFonts w:hint="eastAsia"/>
              </w:rPr>
              <w:t>k=2完全疏散(100%)</w:t>
            </w:r>
          </w:p>
        </w:tc>
      </w:tr>
    </w:tbl>
    <w:p w14:paraId="4F419D07" w14:textId="77777777" w:rsidR="005E37C1" w:rsidRPr="005E37C1" w:rsidRDefault="005E37C1" w:rsidP="005E37C1">
      <w:pPr>
        <w:spacing w:after="120" w:line="360" w:lineRule="auto"/>
        <w:ind w:firstLine="420"/>
        <w:rPr>
          <w:rFonts w:hint="eastAsia"/>
        </w:rPr>
      </w:pPr>
      <w:r>
        <w:rPr>
          <w:rFonts w:hint="eastAsia"/>
          <w:i/>
          <w:iCs/>
        </w:rPr>
        <w:t>[图4  交通系统韧性雷达图]</w:t>
      </w:r>
    </w:p>
    <w:p w14:paraId="1781F7C9" w14:textId="77777777" w:rsidR="00700088" w:rsidRDefault="00700088" w:rsidP="0070008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lastRenderedPageBreak/>
        <w:drawing>
          <wp:inline distT="0" distB="0" distL="0" distR="0" wp14:anchorId="05825B59" wp14:editId="74F71BCD">
            <wp:extent cx="3162300" cy="3022600"/>
            <wp:effectExtent l="0" t="0" r="0" b="0"/>
            <wp:docPr id="562009149" name="图片 3" descr="图表, 雷达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59287" name="图片 3" descr="图表, 雷达图  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2300" cy="3022600"/>
                    </a:xfrm>
                    <a:prstGeom prst="rect">
                      <a:avLst/>
                    </a:prstGeom>
                  </pic:spPr>
                </pic:pic>
              </a:graphicData>
            </a:graphic>
          </wp:inline>
        </w:drawing>
      </w:r>
    </w:p>
    <w:p w14:paraId="12CB2CCA" w14:textId="46F289B3" w:rsidR="00700088" w:rsidRDefault="00700088" w:rsidP="00700088">
      <w:pPr>
        <w:spacing w:beforeLines="50" w:before="120" w:after="100" w:line="360" w:lineRule="auto"/>
        <w:jc w:val="center"/>
        <w:rPr>
          <w:rFonts w:ascii="Times New Roman" w:eastAsia="仿宋" w:hAnsi="Times New Roman" w:cs="Times New Roman" w:hint="eastAsia"/>
          <w:sz w:val="24"/>
          <w:szCs w:val="24"/>
        </w:rPr>
      </w:pPr>
      <w:r>
        <w:rPr>
          <w:rFonts w:ascii="Times New Roman" w:eastAsia="仿宋" w:hAnsi="Times New Roman" w:cs="Times New Roman"/>
          <w:sz w:val="24"/>
          <w:szCs w:val="24"/>
        </w:rPr>
        <w:t>图4　交通系统韧性雷达图。Fig.4 Resilience radar chart.</w:t>
      </w:r>
    </w:p>
    <w:p w14:paraId="233206FD" w14:textId="17B195C4"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图4  交通系统韧性雷达图。Fig.4 Resilience radar chart.</w:t>
      </w:r>
    </w:p>
    <w:p w14:paraId="5142CB89"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hint="eastAsia"/>
          <w:color w:val="3B5AA2"/>
          <w:position w:val="16"/>
          <w:sz w:val="32"/>
          <w:szCs w:val="24"/>
        </w:rPr>
      </w:pPr>
      <w:r>
        <w:rPr>
          <w:rFonts w:ascii="Times New Roman" w:eastAsia="仿宋" w:hAnsi="Times New Roman" w:cs="Times New Roman" w:hint="eastAsia"/>
          <w:color w:val="3B5AA2"/>
          <w:position w:val="16"/>
          <w:sz w:val="32"/>
          <w:szCs w:val="24"/>
        </w:rPr>
        <w:t>5  讨论</w:t>
      </w:r>
    </w:p>
    <w:p w14:paraId="0A872662"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5.1  物资配送与疏散的不对称韧性</w:t>
      </w:r>
    </w:p>
    <w:p w14:paraId="7DD82862"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韧性评估揭示了显著的不对称性能特征：物资配送展现出较高韧性（85.7%完成率、生命救援物资100%准时送达），而k=1类重伤人员的疏散表现出明显瓶颈（2.8%完成率）。与此同时，基于ERPG分区策略使k=2类脆弱群体实现了100%疏散，整体疏散率达40.1%。不对称性的根源在于运力结构与需求匹配的失衡——k=1类仅可使用救护车和直升机（共18辆/架），但ERPG-1区域按2%比例估算的重伤人口高达约8,100人，远超专用急救运力的上限。就地避难人口的物资需求使配送任务增加75%（40→70项），其中9项未完成任务集中在大批量防护设备配送。这一发现表明，在城市危险品事故的应急准备中，急救运力（尤其是救护车和直升机）的预置规模以及应急物资仓库的布局应获得更高的优先级。</w:t>
      </w:r>
    </w:p>
    <w:p w14:paraId="68922CF0"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5.2  关键基础设施的决定性角色</w:t>
      </w:r>
    </w:p>
    <w:p w14:paraId="4AD2DE42"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在ERPG分区策略下，地铁的疏散贡献低于预期。移除地铁后疏散率反而微升（40.1%→40.5%），原因在于当前需疏散人群以k=1（仅用救护车/直升机）和k=2为主，公交和私家车已足以覆盖k=2的运力需求。然而，地铁的价值不应被低估：（1）在更大规模事故（如ERPG-3区域覆盖密集居住区）或全员疏散场景下，k=3类大量一般人口将依赖地铁的高吞吐量；（2）就地避难区域的居民可能自发向地铁站聚集，地铁的大容量运力（每列1,200人，180 min内可发15列）在非受控疏散中具有不可替代的作用。Abdelgawad和Abdulhai[10]提出的多模式疏散框架中关于</w:t>
        <w:lastRenderedPageBreak/>
        <w:t>大容量公共交通重要性的结论一致。实践层面，这要求城市应急管理部门建立地铁系统的快速应急调度协议，确保在危险品事故发生后能够迅速启动地铁应急运营。</w:t>
      </w:r>
    </w:p>
    <w:p w14:paraId="16A57979"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5.3  无人机协同的适用边界</w:t>
      </w:r>
    </w:p>
    <w:p w14:paraId="6531D538"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在ERPG分区策略下，就地避难人口的物资需求使接力配送任务从1项增至4项（占6.7%），体现了无人机在扩大配送覆盖范围方面的价值。然而，协同方案的Makespan与纯货车方案相同（均为37.7 min），且协同方案完成任务数反而略少（60 vs 61项），原因在于接力模式占用了车辆时间。Zhang等[8]关于优先级机制下货车—无人机同步配送的研究同样指出，无人机的价值在大规模路网破坏场景下更为显著。可以预期，在封闭区更大（如爆炸场景导致2-3 km路段封闭）、同时发生多点事故或供应点库存不足条件下，接力配送的优势将进一步凸显。当前场景的主要瓶颈在于供应点库存而非配送路径，增设应急仓库比增加无人机数量更能改善配送完成率。</w:t>
      </w:r>
    </w:p>
    <w:p w14:paraId="43CDC360"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5.4  分层疏散策略的政策含义</w:t>
      </w:r>
    </w:p>
    <w:p w14:paraId="47CD0148"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40.1%的总体疏散完成率需要结合ERPG分区策略的设计逻辑进行解读。该策略的核心理念是“按需响应”而非“全员疏散”——仅对高浓度区域的高风险人群实施强制疏散，其余人群就地避难并通过物资配送保障安全。这一设计将需疏散人口从23.5万缩减至1.38万，使有限的车队能够集中服务最需要帮助的群体，k=2类脆弱群体由此实现了100%疏散。k=1类2.8%的低疏散率揭示了关键瓶颈：ERPG-1区域（轻微不适级别）按2%估算的重伤人口约8,100人，但该区域浓度较低，实际重伤比例应远低于核心区。后续研究应建立浓度依赖的重伤率模型（如ERPG-3区5%、ERPG-2区1%、ERPG-1区0.2%），使k=1人口估算更贴合实际。同时，41.3万就地避难人口的物资保障需求（防毒面具、饮用水等）与疏散形成了真正的“向心—离心”协同，验证了本研究“双链耦合”框架的必要性。</w:t>
      </w:r>
    </w:p>
    <w:p w14:paraId="1EB704F8"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5.5  研究局限</w:t>
      </w:r>
    </w:p>
    <w:p w14:paraId="6E466174" w14:textId="4E7E625D"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本研究存在以下局限性：（1）贪心启发式+局部搜索算法虽然计算效率高，但不保证全局最优解，后续应探索混合整数规划精确方法或自适应大邻域搜索等元启发式方法；（2）人口空间分布基于手机定位数据，年龄结构采用区县级均匀假设，引入建筑级人口模型将提升疏散需求估算精度；（3）静态高斯烟羽模型无法捕捉时变泄漏速率和复杂地形效应，耦合计算流体动力学（CFD）模型将提高扩散模拟精度；（4）拥堵效应仅通过BPR函数静态估算，未考虑疏散过程中的动态交通流反馈，后续可耦合中观或微观交通仿真模型；（5）受影响人口以3 km圆形区域统计，未精确匹配高斯烟羽的实际扇形覆盖范围，可能高估了疏散需求总量；疏散调度采用严格优先级策略且未为低优先级人群预留运力，后续可探索带运力配额的弹性优先级机制。</w:t>
      </w:r>
    </w:p>
    <w:p w14:paraId="1D15844C"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hint="eastAsia"/>
          <w:color w:val="3B5AA2"/>
          <w:position w:val="16"/>
          <w:sz w:val="32"/>
          <w:szCs w:val="24"/>
        </w:rPr>
      </w:pPr>
      <w:r>
        <w:rPr>
          <w:rFonts w:ascii="Times New Roman" w:eastAsia="仿宋" w:hAnsi="Times New Roman" w:cs="Times New Roman" w:hint="eastAsia"/>
          <w:color w:val="3B5AA2"/>
          <w:position w:val="16"/>
          <w:sz w:val="32"/>
          <w:szCs w:val="24"/>
        </w:rPr>
        <w:lastRenderedPageBreak/>
        <w:t>6  结论</w:t>
      </w:r>
    </w:p>
    <w:p w14:paraId="5D811353"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6.1  主要发现</w:t>
      </w:r>
    </w:p>
    <w:p w14:paraId="3BCF4E70"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本研究构建了应急物资配送与多类型人员疏散的协同优化框架，应用于北京六环路太和桥立交氯气泄漏事故模拟场景，主要发现包括：</w:t>
      </w:r>
    </w:p>
    <w:p w14:paraId="1B00FF1F"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1）基于ERPG分区的差异化响应策略有效聚焦了疏散资源，将需疏散人口从23.5万缩减至1.38万，就地避难人口41.3万产生的物资需求使配送任务增加75%（40→70项），物资配送与人员疏散形成实质性的"向心—离心"耦合。</w:t>
      </w:r>
    </w:p>
    <w:p w14:paraId="10481956"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（2）基准方案疏散率达40.1%，k=2类脆弱群体实现100%疏散，但k=1类重伤人员仅2.8%——瓶颈在于专用急救运力（救护车/直升机）与远距离低浓度区域估算的重伤人口之间的结构性失衡。</w:t>
      </w:r>
    </w:p>
    <w:p w14:paraId="3900C040"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（3）基于优先级的调度有效保护了脆弱群体，ERPG-2区域整体疏散率达93.1%；浓度依赖的重伤率模型是提升k=1疏散率估算精度的关键方向。</w:t>
      </w:r>
    </w:p>
    <w:p w14:paraId="6CDC2014"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4）交通系统呈现结构性不对称韧性——物资配送功能韧性较高（85.7%完成率、生命救援100%准时）但受限于库存规模，k=1类急救疏散运力严重不足（2.8%完成率），需要针对性地增配救护车/直升机资源并优化应急仓库布局。</w:t>
      </w:r>
    </w:p>
    <w:p w14:paraId="53C78E62"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6.2  政策建议</w:t>
      </w:r>
    </w:p>
    <w:p w14:paraId="29AE2DD4"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（1）建立和完善地铁应急运营预案，确保在危险品事故发生后能够快速启动地铁应急运营。</w:t>
      </w:r>
    </w:p>
    <w:p w14:paraId="1A20EAE5"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（2）采用分层疏散策略：1 km核心区实施强制疏散，1—3 km外围区实施就地避难并配发防护设备。</w:t>
      </w:r>
    </w:p>
    <w:p w14:paraId="7BE0149A"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（3）在高风险走廊预置直升机资源，为重伤人员提供快速转运能力。</w:t>
      </w:r>
    </w:p>
    <w:p w14:paraId="5E8347BD"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（4）投资无人机基础设施，在更严重的破坏条件下接力配送优势将进一步凸显。</w:t>
      </w:r>
    </w:p>
    <w:p w14:paraId="6D63F7CC"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（5）将实时风向监测与疏散规划整合，基于气象数据动态更新危险区域并触发分区疏散指令。</w:t>
      </w:r>
    </w:p>
    <w:p w14:paraId="2F263AA8"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lastRenderedPageBreak/>
        <w:t>6.3  未来方向</w:t>
      </w:r>
    </w:p>
    <w:p w14:paraId="25715DF2" w14:textId="6EE5AAA3" w:rsidR="00B04ED1" w:rsidRDefault="005E37C1" w:rsidP="00700088">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后续研究可从以下方向拓展：（1）采用MIP精确方法求解小规模实例以提供最优性基准，或采用自适应大邻域搜索（ALNS）等元启发式方法处理实际规模问题；（2）耦合CFD模型提高扩散模拟精度；（3）耦合中微观交通仿真模型获取更真实的动态出行时间估计；（4）引入建筑级人口模型提升疏散需求估算精度；（5）结合实际应急预案数据对车队规模与库存参数进行标定；（6）设计带运力配额的弹性优先级调度策略，在保护脆弱群体的前提下为一般人群预留疏散运力，并基于ERPG等值线精细化疏散需求统计范围。</w:t>
      </w:r>
    </w:p>
    <w:p w14:paraId="1EC9C820" w14:textId="77777777" w:rsidR="00EB0048" w:rsidRPr="00230455" w:rsidRDefault="00000000" w:rsidP="00230455">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致谢</w:t>
      </w:r>
    </w:p>
    <w:p w14:paraId="242A8250" w14:textId="6E6A55D1" w:rsidR="005D4318" w:rsidRPr="005D4318" w:rsidRDefault="005D4318" w:rsidP="00C85FA6">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本研究得到国家重点研发计划项目（课题编号：2021YFA1000300, 2021YFA100030</w:t>
      </w:r>
      <w:r>
        <w:rPr>
          <w:rFonts w:ascii="Times New Roman" w:eastAsia="仿宋" w:hAnsi="Times New Roman" w:cs="Times New Roman" w:hint="eastAsia"/>
          <w:sz w:val="24"/>
          <w:szCs w:val="24"/>
        </w:rPr>
        <w:t>3</w:t>
      </w:r>
      <w:r>
        <w:rPr>
          <w:rFonts w:ascii="Times New Roman" w:eastAsia="仿宋" w:hAnsi="Times New Roman" w:cs="Times New Roman"/>
          <w:sz w:val="24"/>
          <w:szCs w:val="24"/>
        </w:rPr>
        <w:t>）的资助支持。</w:t>
      </w:r>
    </w:p>
    <w:p w14:paraId="4C1A9B34" w14:textId="40FCCB95" w:rsidR="00EB0048" w:rsidRDefault="00000000" w:rsidP="00F10BC7">
      <w:pPr>
        <w:spacing w:before="300" w:after="100"/>
        <w:jc w:val="left"/>
        <w:rPr>
          <w:rFonts w:ascii="Times New Roman" w:hAnsi="Times New Roman" w:cs="Times New Roman" w:hint="eastAsia"/>
        </w:rPr>
      </w:pPr>
      <w:r>
        <w:rPr>
          <w:rFonts w:ascii="Times New Roman" w:eastAsia="黑体" w:hAnsi="Times New Roman" w:cs="Times New Roman"/>
          <w:b/>
          <w:bCs/>
          <w:sz w:val="24"/>
          <w:szCs w:val="24"/>
        </w:rPr>
        <w:t>参考文献</w:t>
      </w:r>
    </w:p>
    <w:p w14:paraId="35E30E99" w14:textId="77777777" w:rsidR="005A4086" w:rsidRPr="005A4086" w:rsidRDefault="00E9397C" w:rsidP="005A4086">
      <w:pPr>
        <w:pStyle w:val="EndNoteBibliography"/>
        <w:ind w:left="720" w:hanging="720"/>
        <w:jc w:val="left"/>
        <w:rPr>
          <w:noProof/>
        </w:rPr>
      </w:pPr>
      <w:r>
        <w:fldChar w:fldCharType="begin"/>
        <w:instrText xml:space="preserve"> ADDIN EN.REFLIST </w:instrText>
        <w:fldChar w:fldCharType="separate"/>
      </w:r>
      <w:r>
        <w:rPr>
          <w:noProof/>
        </w:rPr>
        <w:t>[1]</w:t>
        <w:tab/>
        <w:t>FARAHANI R Z, LOTFI M M, BAGHAIAN A, et al. Mass casualty management in disaster scene: A systematic review of OR&amp;MS research in humanitarian operations [J]. European Journal of Operational Research, 2020, 287(3): 787-819.</w:t>
      </w:r>
    </w:p>
    <w:p w14:paraId="06A78215" w14:textId="77777777" w:rsidR="005A4086" w:rsidRPr="005A4086" w:rsidRDefault="005A4086" w:rsidP="005A4086">
      <w:pPr>
        <w:pStyle w:val="EndNoteBibliography"/>
        <w:ind w:left="720" w:hanging="720"/>
        <w:jc w:val="left"/>
        <w:rPr>
          <w:noProof/>
        </w:rPr>
      </w:pPr>
      <w:r>
        <w:rPr>
          <w:noProof/>
        </w:rPr>
        <w:t>[2]</w:t>
        <w:tab/>
        <w:t>ÖZDAMAR L, ERTEM M A. Models, solutions and enabling technologies in humanitarian logistics [J]. European Journal of Operational Research, 2015, 244(1): 55-65.</w:t>
      </w:r>
    </w:p>
    <w:p w14:paraId="20AA3C10" w14:textId="77777777" w:rsidR="005A4086" w:rsidRPr="005A4086" w:rsidRDefault="005A4086" w:rsidP="005A4086">
      <w:pPr>
        <w:pStyle w:val="EndNoteBibliography"/>
        <w:ind w:left="720" w:hanging="720"/>
        <w:jc w:val="left"/>
        <w:rPr>
          <w:noProof/>
        </w:rPr>
      </w:pPr>
      <w:r>
        <w:rPr>
          <w:noProof/>
        </w:rPr>
        <w:t>[3]</w:t>
        <w:tab/>
        <w:t>KE G Y. Managing reliable emergency logistics for hazardous materials: A two-stage robust optimization approach [J]. Computers &amp; Operations Research, 2022, 138: 105557.</w:t>
      </w:r>
    </w:p>
    <w:p w14:paraId="46980A09" w14:textId="77777777" w:rsidR="005A4086" w:rsidRPr="005A4086" w:rsidRDefault="005A4086" w:rsidP="005A4086">
      <w:pPr>
        <w:pStyle w:val="EndNoteBibliography"/>
        <w:ind w:left="720" w:hanging="720"/>
        <w:jc w:val="left"/>
        <w:rPr>
          <w:noProof/>
        </w:rPr>
      </w:pPr>
      <w:r>
        <w:rPr>
          <w:noProof/>
        </w:rPr>
        <w:t>[4]</w:t>
        <w:tab/>
        <w:t>MURRAY C C, CHU A G. The flying sidekick traveling salesman problem: Optimization of drone-assisted parcel delivery [J]. Transportation Research Part C: Emerging Technologies, 2015, 54: 86-109.</w:t>
      </w:r>
    </w:p>
    <w:p w14:paraId="2E233A65" w14:textId="77777777" w:rsidR="005A4086" w:rsidRPr="005A4086" w:rsidRDefault="005A4086" w:rsidP="005A4086">
      <w:pPr>
        <w:pStyle w:val="EndNoteBibliography"/>
        <w:ind w:left="720" w:hanging="720"/>
        <w:jc w:val="left"/>
        <w:rPr>
          <w:noProof/>
        </w:rPr>
      </w:pPr>
      <w:r>
        <w:rPr>
          <w:noProof/>
        </w:rPr>
        <w:t>[5]</w:t>
        <w:tab/>
        <w:t>AGATZ N, BOUMAN P, SCHMIDT M. Optimization Approaches for the Traveling Salesman Problem with Drone [J]. Transportation Science, 2018, 52(4): 965–81.</w:t>
      </w:r>
    </w:p>
    <w:p w14:paraId="7303E13F" w14:textId="77777777" w:rsidR="005A4086" w:rsidRPr="005A4086" w:rsidRDefault="005A4086" w:rsidP="005A4086">
      <w:pPr>
        <w:pStyle w:val="EndNoteBibliography"/>
        <w:ind w:left="720" w:hanging="720"/>
        <w:jc w:val="left"/>
        <w:rPr>
          <w:noProof/>
        </w:rPr>
      </w:pPr>
      <w:r>
        <w:rPr>
          <w:noProof/>
        </w:rPr>
        <w:t>[6]</w:t>
        <w:tab/>
        <w:t>CHUNG S H, SAH B, LEE J. Optimization for drone and drone-truck combined operations: A review of the state of the art and future directions [J]. Computers &amp; Operations Research, 2020, 123: 105004.</w:t>
      </w:r>
    </w:p>
    <w:p w14:paraId="04292CE0" w14:textId="77777777" w:rsidR="005A4086" w:rsidRPr="005A4086" w:rsidRDefault="005A4086" w:rsidP="005A4086">
      <w:pPr>
        <w:pStyle w:val="EndNoteBibliography"/>
        <w:ind w:left="720" w:hanging="720"/>
        <w:jc w:val="left"/>
        <w:rPr>
          <w:noProof/>
        </w:rPr>
      </w:pPr>
      <w:r>
        <w:rPr>
          <w:noProof/>
        </w:rPr>
        <w:t>[7]</w:t>
        <w:tab/>
        <w:t>LI H, CHEN J, WANG F, et al. Ground-vehicle and unmanned-aerial-vehicle routing problems from two-echelon scheme perspective: A review [J]. European Journal of Operational Research, 2021, 294(3): 1078-95.</w:t>
      </w:r>
    </w:p>
    <w:p w14:paraId="564B63B8" w14:textId="77777777" w:rsidR="005A4086" w:rsidRPr="005A4086" w:rsidRDefault="005A4086" w:rsidP="005A4086">
      <w:pPr>
        <w:pStyle w:val="EndNoteBibliography"/>
        <w:ind w:left="720" w:hanging="720"/>
        <w:jc w:val="left"/>
        <w:rPr>
          <w:noProof/>
        </w:rPr>
      </w:pPr>
      <w:r>
        <w:rPr>
          <w:noProof/>
        </w:rPr>
        <w:t>[8]</w:t>
        <w:tab/>
        <w:t>ZHANG L, DING Y, LIN H. Optimizing synchronized truck-drone delivery with priority in disaster relief [J]. Journal of Industrial and Management Optimization, 2023, 19(7): 5143-62.</w:t>
      </w:r>
    </w:p>
    <w:p w14:paraId="062F601F" w14:textId="77777777" w:rsidR="005A4086" w:rsidRPr="005A4086" w:rsidRDefault="005A4086" w:rsidP="005A4086">
      <w:pPr>
        <w:pStyle w:val="EndNoteBibliography"/>
        <w:ind w:left="720" w:hanging="720"/>
        <w:jc w:val="left"/>
        <w:rPr>
          <w:noProof/>
        </w:rPr>
      </w:pPr>
      <w:r>
        <w:rPr>
          <w:noProof/>
        </w:rPr>
        <w:t>[9]</w:t>
        <w:tab/>
        <w:t>HAMACHER H, TJANDRA S. Mathematical Modeling of Evacuation Problems: A State of The Art [J]. Pedestrian and Evacuation Dynamics, 2002, 2002.</w:t>
      </w:r>
    </w:p>
    <w:p w14:paraId="4FC0F85D" w14:textId="77777777" w:rsidR="005A4086" w:rsidRPr="005A4086" w:rsidRDefault="005A4086" w:rsidP="005A4086">
      <w:pPr>
        <w:pStyle w:val="EndNoteBibliography"/>
        <w:ind w:left="720" w:hanging="720"/>
        <w:jc w:val="left"/>
        <w:rPr>
          <w:noProof/>
        </w:rPr>
      </w:pPr>
      <w:r>
        <w:rPr>
          <w:noProof/>
        </w:rPr>
        <w:t>[10]</w:t>
        <w:tab/>
        <w:t>ABDELGAWAD H, ABDULHAI B. Managing Large-Scale Multimodal Emergency Evacuations [J]. Journal of Transportation Safety &amp; Security, 2010, 2: 122-51.</w:t>
      </w:r>
    </w:p>
    <w:p w14:paraId="0C9DF9CC" w14:textId="77777777" w:rsidR="005A4086" w:rsidRPr="005A4086" w:rsidRDefault="005A4086" w:rsidP="005A4086">
      <w:pPr>
        <w:pStyle w:val="EndNoteBibliography"/>
        <w:ind w:left="720" w:hanging="720"/>
        <w:jc w:val="left"/>
        <w:rPr>
          <w:noProof/>
        </w:rPr>
      </w:pPr>
      <w:r>
        <w:rPr>
          <w:noProof/>
        </w:rPr>
        <w:t>[11]</w:t>
        <w:tab/>
        <w:t>YOON S, ALBERT L A. Dynamic dispatch policies for emergency response with multiple types of vehicles [J]. Transportation Research Part E: Logistics and Transportation Review, 2021, 152: 102405.</w:t>
      </w:r>
    </w:p>
    <w:p w14:paraId="05A8A748" w14:textId="77777777" w:rsidR="005A4086" w:rsidRPr="005A4086" w:rsidRDefault="005A4086" w:rsidP="005A4086">
      <w:pPr>
        <w:pStyle w:val="EndNoteBibliography"/>
        <w:ind w:left="720" w:hanging="720"/>
        <w:jc w:val="left"/>
        <w:rPr>
          <w:noProof/>
        </w:rPr>
      </w:pPr>
      <w:r>
        <w:rPr>
          <w:noProof/>
        </w:rPr>
        <w:lastRenderedPageBreak/>
        <w:t>[12]</w:t>
        <w:tab/>
        <w:t>雷斌, 寻天祥, 郝亚睿, et al. 城市轨道交通突发</w:t>
      </w:r>
      <w:r>
        <w:rPr>
          <w:rFonts w:hint="eastAsia"/>
          <w:noProof/>
        </w:rPr>
        <w:t>事件下换乘站应急疏散路径优化研究</w:t>
      </w:r>
      <w:r>
        <w:rPr>
          <w:noProof/>
        </w:rPr>
        <w:t xml:space="preserve"> [J]. 中国安全生产科学技术, 2023, 19(05): 186-93.</w:t>
      </w:r>
    </w:p>
    <w:p w14:paraId="7C116A9C" w14:textId="77777777" w:rsidR="005A4086" w:rsidRPr="005A4086" w:rsidRDefault="005A4086" w:rsidP="005A4086">
      <w:pPr>
        <w:pStyle w:val="EndNoteBibliography"/>
        <w:ind w:left="720" w:hanging="720"/>
        <w:jc w:val="left"/>
        <w:rPr>
          <w:noProof/>
        </w:rPr>
      </w:pPr>
      <w:r>
        <w:rPr>
          <w:noProof/>
        </w:rPr>
        <w:t>[13]</w:t>
        <w:tab/>
        <w:t>杨扬, 陈君婷, 姚恩建, et al. 时变需求下综合客运枢纽集群对外交通网络韧性评估方法 [J]. 交通运输工程学报, 2026, 26(02): 155-69.</w:t>
      </w:r>
    </w:p>
    <w:p w14:paraId="34F02706" w14:textId="77777777" w:rsidR="005A4086" w:rsidRPr="005A4086" w:rsidRDefault="005A4086" w:rsidP="005A4086">
      <w:pPr>
        <w:pStyle w:val="EndNoteBibliography"/>
        <w:ind w:left="720" w:hanging="720"/>
        <w:jc w:val="left"/>
        <w:rPr>
          <w:noProof/>
        </w:rPr>
      </w:pPr>
      <w:r>
        <w:rPr>
          <w:noProof/>
        </w:rPr>
        <w:t>[14]</w:t>
        <w:tab/>
        <w:t>张毅, 裴华鑫, 姚丹亚. 车路协同环境下车辆群体协同决策研究综述 [J]. 交通运输工程学报, 2022, 22(3): 1.</w:t>
      </w:r>
    </w:p>
    <w:p w14:paraId="49B4644C" w14:textId="77777777" w:rsidR="005A4086" w:rsidRPr="005A4086" w:rsidRDefault="005A4086" w:rsidP="005A4086">
      <w:pPr>
        <w:pStyle w:val="EndNoteBibliography"/>
        <w:ind w:left="720" w:hanging="720"/>
        <w:jc w:val="left"/>
        <w:rPr>
          <w:noProof/>
        </w:rPr>
      </w:pPr>
      <w:r>
        <w:rPr>
          <w:noProof/>
        </w:rPr>
        <w:t>[15]</w:t>
        <w:tab/>
        <w:t>PASQUILL F. Atmospheric Diffusion: The Dispersion of Windborne Material from Industrial and Other Sources [M]. E. Horwood, 1974.</w:t>
      </w:r>
    </w:p>
    <w:p w14:paraId="1D0588F2" w14:textId="77777777" w:rsidR="005A4086" w:rsidRPr="005A4086" w:rsidRDefault="005A4086" w:rsidP="005A4086">
      <w:pPr>
        <w:pStyle w:val="EndNoteBibliography"/>
        <w:ind w:left="720" w:hanging="720"/>
        <w:jc w:val="left"/>
        <w:rPr>
          <w:noProof/>
        </w:rPr>
      </w:pPr>
      <w:r>
        <w:rPr>
          <w:noProof/>
        </w:rPr>
        <w:t>[16]</w:t>
        <w:tab/>
        <w:t>BRIGGS G A. Diffusion estimation for small emissions. Preliminary report [R]. United States: National Oceanic and Atmospheric Administration, Oak Ridge, Tenn. (USA). Atmospheric Turbulence and Diffusion Lab., 1973.</w:t>
      </w:r>
    </w:p>
    <w:p w14:paraId="19FE5218" w14:textId="77777777" w:rsidR="005A4086" w:rsidRPr="005A4086" w:rsidRDefault="005A4086" w:rsidP="005A4086">
      <w:pPr>
        <w:pStyle w:val="EndNoteBibliography"/>
        <w:ind w:left="720" w:hanging="720"/>
        <w:jc w:val="left"/>
        <w:rPr>
          <w:noProof/>
        </w:rPr>
      </w:pPr>
      <w:r>
        <w:rPr>
          <w:noProof/>
        </w:rPr>
        <w:t>[17]</w:t>
        <w:tab/>
        <w:t>CRAIG D K, DAVIS J S, HANSEN D J, et al. Derivation of temporary emergency exposure limits (TEELs) [J]. J Appl Toxicol, 2000, 20(1): 11-20.</w:t>
      </w:r>
    </w:p>
    <w:p w14:paraId="0E69C68E" w14:textId="7863714B" w:rsidR="00EB0048" w:rsidRDefault="00E9397C" w:rsidP="005A4086">
      <w:pPr>
        <w:jc w:val="left"/>
        <w:rPr>
          <w:rFonts w:ascii="Times New Roman" w:hAnsi="Times New Roman" w:cs="Times New Roman"/>
          <w:i/>
          <w:iCs/>
          <w:sz w:val="20"/>
          <w:szCs w:val="20"/>
        </w:rPr>
      </w:pPr>
      <w:r>
        <w:rPr>
          <w:rFonts w:ascii="Times New Roman" w:hAnsi="Times New Roman" w:cs="Times New Roman"/>
          <w:i/>
          <w:iCs/>
          <w:sz w:val="20"/>
          <w:szCs w:val="20"/>
        </w:rPr>
        <w:fldChar w:fldCharType="end"/>
      </w:r>
    </w:p>
    <w:p w14:paraId="1F81CF0B" w14:textId="77777777" w:rsidR="0063467A" w:rsidRDefault="0063467A" w:rsidP="00B976EA">
      <w:pPr>
        <w:jc w:val="left"/>
        <w:rPr>
          <w:rFonts w:ascii="Times New Roman" w:hAnsi="Times New Roman" w:cs="Times New Roman"/>
          <w:i/>
          <w:iCs/>
          <w:sz w:val="20"/>
          <w:szCs w:val="20"/>
        </w:rPr>
      </w:pPr>
    </w:p>
    <w:p w14:paraId="190C98CC" w14:textId="77777777" w:rsidR="0063467A" w:rsidRDefault="0063467A" w:rsidP="003F643B">
      <w:pPr>
        <w:jc w:val="left"/>
        <w:rPr>
          <w:rFonts w:ascii="Times New Roman" w:hAnsi="Times New Roman" w:cs="Times New Roman"/>
          <w:i/>
          <w:iCs/>
          <w:sz w:val="20"/>
          <w:szCs w:val="20"/>
        </w:rPr>
      </w:pPr>
    </w:p>
    <w:p w14:paraId="47BE57F0" w14:textId="77777777" w:rsidR="0063467A" w:rsidRDefault="0063467A" w:rsidP="003F643B">
      <w:pPr>
        <w:jc w:val="left"/>
        <w:rPr>
          <w:rFonts w:ascii="Times New Roman" w:hAnsi="Times New Roman" w:cs="Times New Roman"/>
          <w:i/>
          <w:iCs/>
          <w:sz w:val="20"/>
          <w:szCs w:val="20"/>
        </w:rPr>
      </w:pPr>
    </w:p>
    <w:p w14:paraId="7CD3AD5A" w14:textId="77777777" w:rsidR="0063467A" w:rsidRDefault="0063467A">
      <w:pPr>
        <w:jc w:val="center"/>
        <w:rPr>
          <w:rFonts w:ascii="Times New Roman" w:hAnsi="Times New Roman" w:cs="Times New Roman"/>
          <w:i/>
          <w:iCs/>
          <w:sz w:val="20"/>
          <w:szCs w:val="20"/>
        </w:rPr>
      </w:pPr>
    </w:p>
    <w:p w14:paraId="3D7B71CE" w14:textId="77777777" w:rsidR="0063467A" w:rsidRDefault="0063467A">
      <w:pPr>
        <w:jc w:val="center"/>
        <w:rPr>
          <w:rFonts w:ascii="Times New Roman" w:hAnsi="Times New Roman" w:cs="Times New Roman"/>
          <w:i/>
          <w:iCs/>
          <w:sz w:val="20"/>
          <w:szCs w:val="20"/>
        </w:rPr>
      </w:pPr>
    </w:p>
    <w:p w14:paraId="24D37E46" w14:textId="77777777" w:rsidR="0063467A" w:rsidRDefault="0063467A" w:rsidP="0063467A">
      <w:pPr>
        <w:spacing w:before="200"/>
        <w:jc w:val="center"/>
        <w:rPr>
          <w:rFonts w:ascii="Times New Roman" w:hAnsi="Times New Roman" w:cs="Times New Roman"/>
        </w:rPr>
      </w:pPr>
      <w:r>
        <w:rPr>
          <w:rFonts w:ascii="Times New Roman" w:hAnsi="Times New Roman" w:cs="Times New Roman"/>
          <w:i/>
          <w:iCs/>
          <w:sz w:val="20"/>
          <w:szCs w:val="20"/>
        </w:rPr>
        <w:t>投稿目标：CSTFM 2026—2026年智能交通与未来出行国际会议，中国兰州，2026年7月10—12日</w:t>
      </w:r>
    </w:p>
    <w:p w14:paraId="60A011BA" w14:textId="77777777" w:rsidR="0063467A" w:rsidRDefault="0063467A" w:rsidP="0063467A">
      <w:pPr>
        <w:jc w:val="center"/>
        <w:rPr>
          <w:rFonts w:ascii="Times New Roman" w:hAnsi="Times New Roman" w:cs="Times New Roman"/>
          <w:i/>
          <w:iCs/>
          <w:sz w:val="20"/>
          <w:szCs w:val="20"/>
        </w:rPr>
      </w:pPr>
      <w:r>
        <w:rPr>
          <w:rFonts w:ascii="Times New Roman" w:hAnsi="Times New Roman" w:cs="Times New Roman"/>
          <w:i/>
          <w:iCs/>
          <w:sz w:val="20"/>
          <w:szCs w:val="20"/>
        </w:rPr>
        <w:t>方向：Track 1——智能交通</w:t>
      </w:r>
    </w:p>
    <w:p w14:paraId="77D505A7" w14:textId="77777777" w:rsidR="0063467A" w:rsidRDefault="0063467A" w:rsidP="0063467A">
      <w:pPr>
        <w:jc w:val="center"/>
        <w:rPr>
          <w:rFonts w:ascii="Times New Roman" w:hAnsi="Times New Roman" w:cs="Times New Roman"/>
          <w:i/>
          <w:iCs/>
          <w:sz w:val="20"/>
          <w:szCs w:val="20"/>
        </w:rPr>
      </w:pPr>
    </w:p>
    <w:p w14:paraId="2B3ED739" w14:textId="77777777" w:rsidR="0063467A" w:rsidRDefault="0063467A">
      <w:pPr>
        <w:jc w:val="center"/>
        <w:rPr>
          <w:rFonts w:ascii="Times New Roman" w:hAnsi="Times New Roman" w:cs="Times New Roman" w:hint="eastAsia"/>
          <w:i/>
          <w:iCs/>
          <w:sz w:val="20"/>
          <w:szCs w:val="20"/>
        </w:rPr>
      </w:pPr>
    </w:p>
    <w:sectPr w:rsidR="006346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doNotDisplayPageBoundaries/>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宋体&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record-ids&gt;&lt;/item&gt;&lt;/Libraries&gt;"/>
  </w:docVars>
  <w:rsids>
    <w:rsidRoot w:val="004E0EA2"/>
    <w:rsid w:val="FA728DD2"/>
    <w:rsid w:val="0001615B"/>
    <w:rsid w:val="00023593"/>
    <w:rsid w:val="000367FB"/>
    <w:rsid w:val="000465F0"/>
    <w:rsid w:val="00066524"/>
    <w:rsid w:val="000964EA"/>
    <w:rsid w:val="000B6A6A"/>
    <w:rsid w:val="000C6B25"/>
    <w:rsid w:val="000D7B23"/>
    <w:rsid w:val="000E3799"/>
    <w:rsid w:val="000F07DB"/>
    <w:rsid w:val="00100D30"/>
    <w:rsid w:val="00105DBD"/>
    <w:rsid w:val="0011468F"/>
    <w:rsid w:val="00121567"/>
    <w:rsid w:val="001254FE"/>
    <w:rsid w:val="001307A8"/>
    <w:rsid w:val="00143174"/>
    <w:rsid w:val="00163416"/>
    <w:rsid w:val="001A2048"/>
    <w:rsid w:val="001F544D"/>
    <w:rsid w:val="00202501"/>
    <w:rsid w:val="00215C62"/>
    <w:rsid w:val="00230455"/>
    <w:rsid w:val="0026590C"/>
    <w:rsid w:val="00285A19"/>
    <w:rsid w:val="00286B09"/>
    <w:rsid w:val="00291206"/>
    <w:rsid w:val="00291FB4"/>
    <w:rsid w:val="002B39F9"/>
    <w:rsid w:val="002D1668"/>
    <w:rsid w:val="002D5247"/>
    <w:rsid w:val="002D7882"/>
    <w:rsid w:val="00311764"/>
    <w:rsid w:val="00320B83"/>
    <w:rsid w:val="003418E3"/>
    <w:rsid w:val="00354E45"/>
    <w:rsid w:val="00373624"/>
    <w:rsid w:val="003A78FA"/>
    <w:rsid w:val="003B5E4B"/>
    <w:rsid w:val="003D5356"/>
    <w:rsid w:val="003F1BA2"/>
    <w:rsid w:val="003F1DE5"/>
    <w:rsid w:val="003F643B"/>
    <w:rsid w:val="004175E5"/>
    <w:rsid w:val="00426D71"/>
    <w:rsid w:val="00433851"/>
    <w:rsid w:val="00444F90"/>
    <w:rsid w:val="00447D84"/>
    <w:rsid w:val="00454BAC"/>
    <w:rsid w:val="00455831"/>
    <w:rsid w:val="00456039"/>
    <w:rsid w:val="00475FE1"/>
    <w:rsid w:val="004820E0"/>
    <w:rsid w:val="00486006"/>
    <w:rsid w:val="004B7DBA"/>
    <w:rsid w:val="004C153D"/>
    <w:rsid w:val="004C5F27"/>
    <w:rsid w:val="004C745B"/>
    <w:rsid w:val="004E0EA2"/>
    <w:rsid w:val="004E57E6"/>
    <w:rsid w:val="004F2E39"/>
    <w:rsid w:val="00501A34"/>
    <w:rsid w:val="00553A96"/>
    <w:rsid w:val="00565EE8"/>
    <w:rsid w:val="005A4086"/>
    <w:rsid w:val="005A70AD"/>
    <w:rsid w:val="005D4318"/>
    <w:rsid w:val="005E37C1"/>
    <w:rsid w:val="005F311F"/>
    <w:rsid w:val="005F5481"/>
    <w:rsid w:val="00613BFA"/>
    <w:rsid w:val="00622C57"/>
    <w:rsid w:val="006304C8"/>
    <w:rsid w:val="0063097F"/>
    <w:rsid w:val="0063467A"/>
    <w:rsid w:val="006567F3"/>
    <w:rsid w:val="006A5BF4"/>
    <w:rsid w:val="006C0B93"/>
    <w:rsid w:val="006D0BF4"/>
    <w:rsid w:val="006F06D9"/>
    <w:rsid w:val="00700088"/>
    <w:rsid w:val="0072780B"/>
    <w:rsid w:val="007338FF"/>
    <w:rsid w:val="00734BBE"/>
    <w:rsid w:val="00736405"/>
    <w:rsid w:val="0074007C"/>
    <w:rsid w:val="00765B36"/>
    <w:rsid w:val="00775CE9"/>
    <w:rsid w:val="00791DBF"/>
    <w:rsid w:val="007A10BF"/>
    <w:rsid w:val="007C2286"/>
    <w:rsid w:val="007E494A"/>
    <w:rsid w:val="007F0CCF"/>
    <w:rsid w:val="007F1D1A"/>
    <w:rsid w:val="007F59A8"/>
    <w:rsid w:val="00876A86"/>
    <w:rsid w:val="008837BD"/>
    <w:rsid w:val="008874E7"/>
    <w:rsid w:val="008E6065"/>
    <w:rsid w:val="008F00B5"/>
    <w:rsid w:val="008F29F4"/>
    <w:rsid w:val="008F7D92"/>
    <w:rsid w:val="0092669C"/>
    <w:rsid w:val="00952356"/>
    <w:rsid w:val="00953B73"/>
    <w:rsid w:val="009733F4"/>
    <w:rsid w:val="009976AE"/>
    <w:rsid w:val="009B7346"/>
    <w:rsid w:val="009B7379"/>
    <w:rsid w:val="009C53DF"/>
    <w:rsid w:val="009F0498"/>
    <w:rsid w:val="00A028DB"/>
    <w:rsid w:val="00A04F6C"/>
    <w:rsid w:val="00A323D0"/>
    <w:rsid w:val="00A34D17"/>
    <w:rsid w:val="00A53E98"/>
    <w:rsid w:val="00AB729A"/>
    <w:rsid w:val="00AD1374"/>
    <w:rsid w:val="00B03235"/>
    <w:rsid w:val="00B04ED1"/>
    <w:rsid w:val="00B37547"/>
    <w:rsid w:val="00B719FA"/>
    <w:rsid w:val="00B87214"/>
    <w:rsid w:val="00B90513"/>
    <w:rsid w:val="00B94087"/>
    <w:rsid w:val="00B976EA"/>
    <w:rsid w:val="00BA6386"/>
    <w:rsid w:val="00BA69B8"/>
    <w:rsid w:val="00BC0FA4"/>
    <w:rsid w:val="00BC1F3D"/>
    <w:rsid w:val="00BF5979"/>
    <w:rsid w:val="00C005D4"/>
    <w:rsid w:val="00C02AFA"/>
    <w:rsid w:val="00C14E8D"/>
    <w:rsid w:val="00C20565"/>
    <w:rsid w:val="00C3062D"/>
    <w:rsid w:val="00C3596D"/>
    <w:rsid w:val="00C36B03"/>
    <w:rsid w:val="00C37B36"/>
    <w:rsid w:val="00C44692"/>
    <w:rsid w:val="00C56DF3"/>
    <w:rsid w:val="00C756B1"/>
    <w:rsid w:val="00C773A1"/>
    <w:rsid w:val="00C85FA6"/>
    <w:rsid w:val="00CA316F"/>
    <w:rsid w:val="00CC7939"/>
    <w:rsid w:val="00CD5E8C"/>
    <w:rsid w:val="00CE3F53"/>
    <w:rsid w:val="00D0021E"/>
    <w:rsid w:val="00D179C1"/>
    <w:rsid w:val="00D22ED7"/>
    <w:rsid w:val="00D438AC"/>
    <w:rsid w:val="00D71170"/>
    <w:rsid w:val="00DC3EE2"/>
    <w:rsid w:val="00DE039E"/>
    <w:rsid w:val="00DF3152"/>
    <w:rsid w:val="00DF723A"/>
    <w:rsid w:val="00DF7303"/>
    <w:rsid w:val="00E1183C"/>
    <w:rsid w:val="00E20A7C"/>
    <w:rsid w:val="00E2795F"/>
    <w:rsid w:val="00E40709"/>
    <w:rsid w:val="00E9397C"/>
    <w:rsid w:val="00E93C4C"/>
    <w:rsid w:val="00E96F2F"/>
    <w:rsid w:val="00EA74A7"/>
    <w:rsid w:val="00EB0048"/>
    <w:rsid w:val="00EB28AC"/>
    <w:rsid w:val="00ED5A4B"/>
    <w:rsid w:val="00EF0C39"/>
    <w:rsid w:val="00F10BC7"/>
    <w:rsid w:val="00F6048F"/>
    <w:rsid w:val="00F8087C"/>
    <w:rsid w:val="00FB360D"/>
    <w:rsid w:val="00FC4B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5172"/>
  <w15:docId w15:val="{B1A0EAC2-7D68-FE40-8EE1-07AE756D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0088"/>
    <w:pPr>
      <w:widowControl w:val="0"/>
      <w:jc w:val="both"/>
    </w:pPr>
    <w:rPr>
      <w:sz w:val="21"/>
      <w:szCs w:val="21"/>
    </w:rPr>
  </w:style>
  <w:style w:type="paragraph" w:styleId="1">
    <w:name w:val="heading 1"/>
    <w:link w:val="10"/>
    <w:uiPriority w:val="9"/>
    <w:qFormat/>
    <w:pPr>
      <w:spacing w:before="300" w:after="200"/>
      <w:outlineLvl w:val="0"/>
    </w:pPr>
    <w:rPr>
      <w:rFonts w:ascii="黑体" w:eastAsia="黑体" w:hAnsi="黑体" w:cs="黑体"/>
      <w:b/>
      <w:bCs/>
      <w:sz w:val="28"/>
      <w:szCs w:val="28"/>
    </w:rPr>
  </w:style>
  <w:style w:type="paragraph" w:styleId="2">
    <w:name w:val="heading 2"/>
    <w:link w:val="20"/>
    <w:uiPriority w:val="9"/>
    <w:unhideWhenUsed/>
    <w:qFormat/>
    <w:pPr>
      <w:spacing w:before="200" w:after="100"/>
      <w:outlineLvl w:val="1"/>
    </w:pPr>
    <w:rPr>
      <w:rFonts w:ascii="黑体" w:eastAsia="黑体" w:hAnsi="黑体" w:cs="黑体"/>
      <w:b/>
      <w:bCs/>
      <w:sz w:val="24"/>
      <w:szCs w:val="24"/>
    </w:rPr>
  </w:style>
  <w:style w:type="paragraph" w:styleId="3">
    <w:name w:val="heading 3"/>
    <w:link w:val="30"/>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sz w:val="21"/>
      <w:szCs w:val="21"/>
    </w:rPr>
  </w:style>
  <w:style w:type="paragraph" w:styleId="5">
    <w:name w:val="heading 5"/>
    <w:uiPriority w:val="9"/>
    <w:semiHidden/>
    <w:unhideWhenUsed/>
    <w:qFormat/>
    <w:pPr>
      <w:outlineLvl w:val="4"/>
    </w:pPr>
    <w:rPr>
      <w:color w:val="2E74B5"/>
      <w:sz w:val="21"/>
      <w:szCs w:val="21"/>
    </w:rPr>
  </w:style>
  <w:style w:type="paragraph" w:styleId="6">
    <w:name w:val="heading 6"/>
    <w:uiPriority w:val="9"/>
    <w:semiHidden/>
    <w:unhideWhenUsed/>
    <w:qFormat/>
    <w:pPr>
      <w:outlineLvl w:val="5"/>
    </w:pPr>
    <w:rPr>
      <w:color w:val="1F4D7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style>
  <w:style w:type="paragraph" w:styleId="a5">
    <w:name w:val="Title"/>
    <w:uiPriority w:val="10"/>
    <w:qFormat/>
    <w:rPr>
      <w:sz w:val="56"/>
      <w:szCs w:val="56"/>
    </w:r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customStyle="1" w:styleId="11">
    <w:name w:val="要点1"/>
    <w:qFormat/>
    <w:rPr>
      <w:b/>
      <w:bCs/>
      <w:sz w:val="21"/>
      <w:szCs w:val="21"/>
    </w:rPr>
  </w:style>
  <w:style w:type="paragraph" w:styleId="a8">
    <w:name w:val="List Paragraph"/>
    <w:qFormat/>
    <w:rPr>
      <w:sz w:val="21"/>
      <w:szCs w:val="21"/>
    </w:rPr>
  </w:style>
  <w:style w:type="character" w:customStyle="1" w:styleId="a4">
    <w:name w:val="脚注文本 字符"/>
    <w:link w:val="a3"/>
    <w:uiPriority w:val="99"/>
    <w:semiHidden/>
    <w:unhideWhenUsed/>
    <w:rPr>
      <w:sz w:val="20"/>
      <w:szCs w:val="20"/>
    </w:rPr>
  </w:style>
  <w:style w:type="paragraph" w:customStyle="1" w:styleId="papertitle">
    <w:name w:val="paper title"/>
    <w:pPr>
      <w:spacing w:after="120"/>
      <w:jc w:val="center"/>
    </w:pPr>
    <w:rPr>
      <w:rFonts w:ascii="Times New Roman" w:eastAsia="MS Mincho" w:hAnsi="Times New Roman" w:cs="Times New Roman"/>
      <w:sz w:val="48"/>
      <w:szCs w:val="48"/>
      <w:lang w:eastAsia="en-US"/>
    </w:rPr>
  </w:style>
  <w:style w:type="paragraph" w:customStyle="1" w:styleId="Author">
    <w:name w:val="Author"/>
    <w:pPr>
      <w:spacing w:before="360" w:after="40"/>
      <w:jc w:val="center"/>
    </w:pPr>
    <w:rPr>
      <w:rFonts w:ascii="Times New Roman" w:hAnsi="Times New Roman" w:cs="Times New Roman"/>
      <w:sz w:val="22"/>
      <w:szCs w:val="22"/>
      <w:lang w:eastAsia="en-US"/>
    </w:rPr>
  </w:style>
  <w:style w:type="paragraph" w:customStyle="1" w:styleId="Affiliation">
    <w:name w:val="Affiliation"/>
    <w:pPr>
      <w:jc w:val="center"/>
    </w:pPr>
    <w:rPr>
      <w:rFonts w:ascii="Times New Roman" w:hAnsi="Times New Roman" w:cs="Times New Roman"/>
      <w:lang w:eastAsia="en-US"/>
    </w:rPr>
  </w:style>
  <w:style w:type="character" w:customStyle="1" w:styleId="10">
    <w:name w:val="标题 1 字符"/>
    <w:basedOn w:val="a0"/>
    <w:link w:val="1"/>
    <w:uiPriority w:val="9"/>
    <w:rPr>
      <w:rFonts w:ascii="黑体" w:eastAsia="黑体" w:hAnsi="黑体" w:cs="黑体"/>
      <w:b/>
      <w:bCs/>
      <w:sz w:val="28"/>
      <w:szCs w:val="28"/>
    </w:rPr>
  </w:style>
  <w:style w:type="character" w:customStyle="1" w:styleId="20">
    <w:name w:val="标题 2 字符"/>
    <w:basedOn w:val="a0"/>
    <w:link w:val="2"/>
    <w:uiPriority w:val="9"/>
    <w:rsid w:val="00DF7303"/>
    <w:rPr>
      <w:rFonts w:ascii="黑体" w:eastAsia="黑体" w:hAnsi="黑体" w:cs="黑体"/>
      <w:b/>
      <w:bCs/>
      <w:sz w:val="24"/>
      <w:szCs w:val="24"/>
    </w:rPr>
  </w:style>
  <w:style w:type="character" w:customStyle="1" w:styleId="30">
    <w:name w:val="标题 3 字符"/>
    <w:basedOn w:val="a0"/>
    <w:link w:val="3"/>
    <w:uiPriority w:val="9"/>
    <w:rsid w:val="00DF7303"/>
    <w:rPr>
      <w:color w:val="1F4D78"/>
      <w:sz w:val="24"/>
      <w:szCs w:val="24"/>
    </w:rPr>
  </w:style>
  <w:style w:type="paragraph" w:customStyle="1" w:styleId="font-claude-response-body">
    <w:name w:val="font-claude-response-body"/>
    <w:basedOn w:val="a"/>
    <w:rsid w:val="009B7379"/>
    <w:pPr>
      <w:widowControl/>
      <w:spacing w:before="100" w:beforeAutospacing="1" w:after="100" w:afterAutospacing="1"/>
    </w:pPr>
    <w:rPr>
      <w:sz w:val="24"/>
      <w:szCs w:val="24"/>
    </w:rPr>
  </w:style>
  <w:style w:type="paragraph" w:customStyle="1" w:styleId="EndNoteBibliographyTitle">
    <w:name w:val="EndNote Bibliography Title"/>
    <w:basedOn w:val="a"/>
    <w:link w:val="EndNoteBibliographyTitle0"/>
    <w:rsid w:val="00E9397C"/>
    <w:pPr>
      <w:jc w:val="center"/>
    </w:pPr>
    <w:rPr>
      <w:sz w:val="20"/>
    </w:rPr>
  </w:style>
  <w:style w:type="character" w:customStyle="1" w:styleId="EndNoteBibliographyTitle0">
    <w:name w:val="EndNote Bibliography Title 字符"/>
    <w:basedOn w:val="a0"/>
    <w:link w:val="EndNoteBibliographyTitle"/>
    <w:rsid w:val="00E9397C"/>
    <w:rPr>
      <w:szCs w:val="21"/>
    </w:rPr>
  </w:style>
  <w:style w:type="paragraph" w:customStyle="1" w:styleId="EndNoteBibliography">
    <w:name w:val="EndNote Bibliography"/>
    <w:basedOn w:val="a"/>
    <w:link w:val="EndNoteBibliography0"/>
    <w:rsid w:val="00E9397C"/>
    <w:pPr>
      <w:jc w:val="center"/>
    </w:pPr>
    <w:rPr>
      <w:sz w:val="20"/>
    </w:rPr>
  </w:style>
  <w:style w:type="character" w:customStyle="1" w:styleId="EndNoteBibliography0">
    <w:name w:val="EndNote Bibliography 字符"/>
    <w:basedOn w:val="a0"/>
    <w:link w:val="EndNoteBibliography"/>
    <w:rsid w:val="00E9397C"/>
    <w:rPr>
      <w:szCs w:val="21"/>
    </w:rPr>
  </w:style>
  <w:style w:type="character" w:styleId="a9">
    <w:name w:val="Unresolved Mention"/>
    <w:basedOn w:val="a0"/>
    <w:uiPriority w:val="99"/>
    <w:semiHidden/>
    <w:unhideWhenUsed/>
    <w:rsid w:val="00E9397C"/>
    <w:rPr>
      <w:color w:val="605E5C"/>
      <w:shd w:val="clear" w:color="auto" w:fill="E1DFDD"/>
    </w:rPr>
  </w:style>
  <w:style w:type="character" w:styleId="aa">
    <w:name w:val="FollowedHyperlink"/>
    <w:basedOn w:val="a0"/>
    <w:uiPriority w:val="99"/>
    <w:semiHidden/>
    <w:unhideWhenUsed/>
    <w:rsid w:val="006346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335003">
      <w:bodyDiv w:val="1"/>
      <w:marLeft w:val="0"/>
      <w:marRight w:val="0"/>
      <w:marTop w:val="0"/>
      <w:marBottom w:val="0"/>
      <w:divBdr>
        <w:top w:val="none" w:sz="0" w:space="0" w:color="auto"/>
        <w:left w:val="none" w:sz="0" w:space="0" w:color="auto"/>
        <w:bottom w:val="none" w:sz="0" w:space="0" w:color="auto"/>
        <w:right w:val="none" w:sz="0" w:space="0" w:color="auto"/>
      </w:divBdr>
    </w:div>
    <w:div w:id="247006983">
      <w:bodyDiv w:val="1"/>
      <w:marLeft w:val="0"/>
      <w:marRight w:val="0"/>
      <w:marTop w:val="0"/>
      <w:marBottom w:val="0"/>
      <w:divBdr>
        <w:top w:val="none" w:sz="0" w:space="0" w:color="auto"/>
        <w:left w:val="none" w:sz="0" w:space="0" w:color="auto"/>
        <w:bottom w:val="none" w:sz="0" w:space="0" w:color="auto"/>
        <w:right w:val="none" w:sz="0" w:space="0" w:color="auto"/>
      </w:divBdr>
    </w:div>
    <w:div w:id="382173106">
      <w:bodyDiv w:val="1"/>
      <w:marLeft w:val="0"/>
      <w:marRight w:val="0"/>
      <w:marTop w:val="0"/>
      <w:marBottom w:val="0"/>
      <w:divBdr>
        <w:top w:val="none" w:sz="0" w:space="0" w:color="auto"/>
        <w:left w:val="none" w:sz="0" w:space="0" w:color="auto"/>
        <w:bottom w:val="none" w:sz="0" w:space="0" w:color="auto"/>
        <w:right w:val="none" w:sz="0" w:space="0" w:color="auto"/>
      </w:divBdr>
    </w:div>
    <w:div w:id="419135327">
      <w:bodyDiv w:val="1"/>
      <w:marLeft w:val="0"/>
      <w:marRight w:val="0"/>
      <w:marTop w:val="0"/>
      <w:marBottom w:val="0"/>
      <w:divBdr>
        <w:top w:val="none" w:sz="0" w:space="0" w:color="auto"/>
        <w:left w:val="none" w:sz="0" w:space="0" w:color="auto"/>
        <w:bottom w:val="none" w:sz="0" w:space="0" w:color="auto"/>
        <w:right w:val="none" w:sz="0" w:space="0" w:color="auto"/>
      </w:divBdr>
    </w:div>
    <w:div w:id="474301698">
      <w:bodyDiv w:val="1"/>
      <w:marLeft w:val="0"/>
      <w:marRight w:val="0"/>
      <w:marTop w:val="0"/>
      <w:marBottom w:val="0"/>
      <w:divBdr>
        <w:top w:val="none" w:sz="0" w:space="0" w:color="auto"/>
        <w:left w:val="none" w:sz="0" w:space="0" w:color="auto"/>
        <w:bottom w:val="none" w:sz="0" w:space="0" w:color="auto"/>
        <w:right w:val="none" w:sz="0" w:space="0" w:color="auto"/>
      </w:divBdr>
    </w:div>
    <w:div w:id="503665339">
      <w:bodyDiv w:val="1"/>
      <w:marLeft w:val="0"/>
      <w:marRight w:val="0"/>
      <w:marTop w:val="0"/>
      <w:marBottom w:val="0"/>
      <w:divBdr>
        <w:top w:val="none" w:sz="0" w:space="0" w:color="auto"/>
        <w:left w:val="none" w:sz="0" w:space="0" w:color="auto"/>
        <w:bottom w:val="none" w:sz="0" w:space="0" w:color="auto"/>
        <w:right w:val="none" w:sz="0" w:space="0" w:color="auto"/>
      </w:divBdr>
      <w:divsChild>
        <w:div w:id="134228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168999">
      <w:bodyDiv w:val="1"/>
      <w:marLeft w:val="0"/>
      <w:marRight w:val="0"/>
      <w:marTop w:val="0"/>
      <w:marBottom w:val="0"/>
      <w:divBdr>
        <w:top w:val="none" w:sz="0" w:space="0" w:color="auto"/>
        <w:left w:val="none" w:sz="0" w:space="0" w:color="auto"/>
        <w:bottom w:val="none" w:sz="0" w:space="0" w:color="auto"/>
        <w:right w:val="none" w:sz="0" w:space="0" w:color="auto"/>
      </w:divBdr>
    </w:div>
    <w:div w:id="672873838">
      <w:bodyDiv w:val="1"/>
      <w:marLeft w:val="0"/>
      <w:marRight w:val="0"/>
      <w:marTop w:val="0"/>
      <w:marBottom w:val="0"/>
      <w:divBdr>
        <w:top w:val="none" w:sz="0" w:space="0" w:color="auto"/>
        <w:left w:val="none" w:sz="0" w:space="0" w:color="auto"/>
        <w:bottom w:val="none" w:sz="0" w:space="0" w:color="auto"/>
        <w:right w:val="none" w:sz="0" w:space="0" w:color="auto"/>
      </w:divBdr>
    </w:div>
    <w:div w:id="722679670">
      <w:bodyDiv w:val="1"/>
      <w:marLeft w:val="0"/>
      <w:marRight w:val="0"/>
      <w:marTop w:val="0"/>
      <w:marBottom w:val="0"/>
      <w:divBdr>
        <w:top w:val="none" w:sz="0" w:space="0" w:color="auto"/>
        <w:left w:val="none" w:sz="0" w:space="0" w:color="auto"/>
        <w:bottom w:val="none" w:sz="0" w:space="0" w:color="auto"/>
        <w:right w:val="none" w:sz="0" w:space="0" w:color="auto"/>
      </w:divBdr>
    </w:div>
    <w:div w:id="758334339">
      <w:bodyDiv w:val="1"/>
      <w:marLeft w:val="0"/>
      <w:marRight w:val="0"/>
      <w:marTop w:val="0"/>
      <w:marBottom w:val="0"/>
      <w:divBdr>
        <w:top w:val="none" w:sz="0" w:space="0" w:color="auto"/>
        <w:left w:val="none" w:sz="0" w:space="0" w:color="auto"/>
        <w:bottom w:val="none" w:sz="0" w:space="0" w:color="auto"/>
        <w:right w:val="none" w:sz="0" w:space="0" w:color="auto"/>
      </w:divBdr>
    </w:div>
    <w:div w:id="808329639">
      <w:bodyDiv w:val="1"/>
      <w:marLeft w:val="0"/>
      <w:marRight w:val="0"/>
      <w:marTop w:val="0"/>
      <w:marBottom w:val="0"/>
      <w:divBdr>
        <w:top w:val="none" w:sz="0" w:space="0" w:color="auto"/>
        <w:left w:val="none" w:sz="0" w:space="0" w:color="auto"/>
        <w:bottom w:val="none" w:sz="0" w:space="0" w:color="auto"/>
        <w:right w:val="none" w:sz="0" w:space="0" w:color="auto"/>
      </w:divBdr>
    </w:div>
    <w:div w:id="823426525">
      <w:bodyDiv w:val="1"/>
      <w:marLeft w:val="0"/>
      <w:marRight w:val="0"/>
      <w:marTop w:val="0"/>
      <w:marBottom w:val="0"/>
      <w:divBdr>
        <w:top w:val="none" w:sz="0" w:space="0" w:color="auto"/>
        <w:left w:val="none" w:sz="0" w:space="0" w:color="auto"/>
        <w:bottom w:val="none" w:sz="0" w:space="0" w:color="auto"/>
        <w:right w:val="none" w:sz="0" w:space="0" w:color="auto"/>
      </w:divBdr>
    </w:div>
    <w:div w:id="851727319">
      <w:bodyDiv w:val="1"/>
      <w:marLeft w:val="0"/>
      <w:marRight w:val="0"/>
      <w:marTop w:val="0"/>
      <w:marBottom w:val="0"/>
      <w:divBdr>
        <w:top w:val="none" w:sz="0" w:space="0" w:color="auto"/>
        <w:left w:val="none" w:sz="0" w:space="0" w:color="auto"/>
        <w:bottom w:val="none" w:sz="0" w:space="0" w:color="auto"/>
        <w:right w:val="none" w:sz="0" w:space="0" w:color="auto"/>
      </w:divBdr>
    </w:div>
    <w:div w:id="901017495">
      <w:bodyDiv w:val="1"/>
      <w:marLeft w:val="0"/>
      <w:marRight w:val="0"/>
      <w:marTop w:val="0"/>
      <w:marBottom w:val="0"/>
      <w:divBdr>
        <w:top w:val="none" w:sz="0" w:space="0" w:color="auto"/>
        <w:left w:val="none" w:sz="0" w:space="0" w:color="auto"/>
        <w:bottom w:val="none" w:sz="0" w:space="0" w:color="auto"/>
        <w:right w:val="none" w:sz="0" w:space="0" w:color="auto"/>
      </w:divBdr>
    </w:div>
    <w:div w:id="928661822">
      <w:bodyDiv w:val="1"/>
      <w:marLeft w:val="0"/>
      <w:marRight w:val="0"/>
      <w:marTop w:val="0"/>
      <w:marBottom w:val="0"/>
      <w:divBdr>
        <w:top w:val="none" w:sz="0" w:space="0" w:color="auto"/>
        <w:left w:val="none" w:sz="0" w:space="0" w:color="auto"/>
        <w:bottom w:val="none" w:sz="0" w:space="0" w:color="auto"/>
        <w:right w:val="none" w:sz="0" w:space="0" w:color="auto"/>
      </w:divBdr>
    </w:div>
    <w:div w:id="989822473">
      <w:bodyDiv w:val="1"/>
      <w:marLeft w:val="0"/>
      <w:marRight w:val="0"/>
      <w:marTop w:val="0"/>
      <w:marBottom w:val="0"/>
      <w:divBdr>
        <w:top w:val="none" w:sz="0" w:space="0" w:color="auto"/>
        <w:left w:val="none" w:sz="0" w:space="0" w:color="auto"/>
        <w:bottom w:val="none" w:sz="0" w:space="0" w:color="auto"/>
        <w:right w:val="none" w:sz="0" w:space="0" w:color="auto"/>
      </w:divBdr>
    </w:div>
    <w:div w:id="1040008105">
      <w:bodyDiv w:val="1"/>
      <w:marLeft w:val="0"/>
      <w:marRight w:val="0"/>
      <w:marTop w:val="0"/>
      <w:marBottom w:val="0"/>
      <w:divBdr>
        <w:top w:val="none" w:sz="0" w:space="0" w:color="auto"/>
        <w:left w:val="none" w:sz="0" w:space="0" w:color="auto"/>
        <w:bottom w:val="none" w:sz="0" w:space="0" w:color="auto"/>
        <w:right w:val="none" w:sz="0" w:space="0" w:color="auto"/>
      </w:divBdr>
    </w:div>
    <w:div w:id="1040326187">
      <w:bodyDiv w:val="1"/>
      <w:marLeft w:val="0"/>
      <w:marRight w:val="0"/>
      <w:marTop w:val="0"/>
      <w:marBottom w:val="0"/>
      <w:divBdr>
        <w:top w:val="none" w:sz="0" w:space="0" w:color="auto"/>
        <w:left w:val="none" w:sz="0" w:space="0" w:color="auto"/>
        <w:bottom w:val="none" w:sz="0" w:space="0" w:color="auto"/>
        <w:right w:val="none" w:sz="0" w:space="0" w:color="auto"/>
      </w:divBdr>
    </w:div>
    <w:div w:id="1081484809">
      <w:bodyDiv w:val="1"/>
      <w:marLeft w:val="0"/>
      <w:marRight w:val="0"/>
      <w:marTop w:val="0"/>
      <w:marBottom w:val="0"/>
      <w:divBdr>
        <w:top w:val="none" w:sz="0" w:space="0" w:color="auto"/>
        <w:left w:val="none" w:sz="0" w:space="0" w:color="auto"/>
        <w:bottom w:val="none" w:sz="0" w:space="0" w:color="auto"/>
        <w:right w:val="none" w:sz="0" w:space="0" w:color="auto"/>
      </w:divBdr>
    </w:div>
    <w:div w:id="1100757427">
      <w:bodyDiv w:val="1"/>
      <w:marLeft w:val="0"/>
      <w:marRight w:val="0"/>
      <w:marTop w:val="0"/>
      <w:marBottom w:val="0"/>
      <w:divBdr>
        <w:top w:val="none" w:sz="0" w:space="0" w:color="auto"/>
        <w:left w:val="none" w:sz="0" w:space="0" w:color="auto"/>
        <w:bottom w:val="none" w:sz="0" w:space="0" w:color="auto"/>
        <w:right w:val="none" w:sz="0" w:space="0" w:color="auto"/>
      </w:divBdr>
    </w:div>
    <w:div w:id="1176534756">
      <w:bodyDiv w:val="1"/>
      <w:marLeft w:val="0"/>
      <w:marRight w:val="0"/>
      <w:marTop w:val="0"/>
      <w:marBottom w:val="0"/>
      <w:divBdr>
        <w:top w:val="none" w:sz="0" w:space="0" w:color="auto"/>
        <w:left w:val="none" w:sz="0" w:space="0" w:color="auto"/>
        <w:bottom w:val="none" w:sz="0" w:space="0" w:color="auto"/>
        <w:right w:val="none" w:sz="0" w:space="0" w:color="auto"/>
      </w:divBdr>
    </w:div>
    <w:div w:id="1191917949">
      <w:bodyDiv w:val="1"/>
      <w:marLeft w:val="0"/>
      <w:marRight w:val="0"/>
      <w:marTop w:val="0"/>
      <w:marBottom w:val="0"/>
      <w:divBdr>
        <w:top w:val="none" w:sz="0" w:space="0" w:color="auto"/>
        <w:left w:val="none" w:sz="0" w:space="0" w:color="auto"/>
        <w:bottom w:val="none" w:sz="0" w:space="0" w:color="auto"/>
        <w:right w:val="none" w:sz="0" w:space="0" w:color="auto"/>
      </w:divBdr>
    </w:div>
    <w:div w:id="1236739613">
      <w:bodyDiv w:val="1"/>
      <w:marLeft w:val="0"/>
      <w:marRight w:val="0"/>
      <w:marTop w:val="0"/>
      <w:marBottom w:val="0"/>
      <w:divBdr>
        <w:top w:val="none" w:sz="0" w:space="0" w:color="auto"/>
        <w:left w:val="none" w:sz="0" w:space="0" w:color="auto"/>
        <w:bottom w:val="none" w:sz="0" w:space="0" w:color="auto"/>
        <w:right w:val="none" w:sz="0" w:space="0" w:color="auto"/>
      </w:divBdr>
    </w:div>
    <w:div w:id="1392145933">
      <w:bodyDiv w:val="1"/>
      <w:marLeft w:val="0"/>
      <w:marRight w:val="0"/>
      <w:marTop w:val="0"/>
      <w:marBottom w:val="0"/>
      <w:divBdr>
        <w:top w:val="none" w:sz="0" w:space="0" w:color="auto"/>
        <w:left w:val="none" w:sz="0" w:space="0" w:color="auto"/>
        <w:bottom w:val="none" w:sz="0" w:space="0" w:color="auto"/>
        <w:right w:val="none" w:sz="0" w:space="0" w:color="auto"/>
      </w:divBdr>
    </w:div>
    <w:div w:id="1398481184">
      <w:bodyDiv w:val="1"/>
      <w:marLeft w:val="0"/>
      <w:marRight w:val="0"/>
      <w:marTop w:val="0"/>
      <w:marBottom w:val="0"/>
      <w:divBdr>
        <w:top w:val="none" w:sz="0" w:space="0" w:color="auto"/>
        <w:left w:val="none" w:sz="0" w:space="0" w:color="auto"/>
        <w:bottom w:val="none" w:sz="0" w:space="0" w:color="auto"/>
        <w:right w:val="none" w:sz="0" w:space="0" w:color="auto"/>
      </w:divBdr>
    </w:div>
    <w:div w:id="1433278053">
      <w:bodyDiv w:val="1"/>
      <w:marLeft w:val="0"/>
      <w:marRight w:val="0"/>
      <w:marTop w:val="0"/>
      <w:marBottom w:val="0"/>
      <w:divBdr>
        <w:top w:val="none" w:sz="0" w:space="0" w:color="auto"/>
        <w:left w:val="none" w:sz="0" w:space="0" w:color="auto"/>
        <w:bottom w:val="none" w:sz="0" w:space="0" w:color="auto"/>
        <w:right w:val="none" w:sz="0" w:space="0" w:color="auto"/>
      </w:divBdr>
    </w:div>
    <w:div w:id="1466704400">
      <w:bodyDiv w:val="1"/>
      <w:marLeft w:val="0"/>
      <w:marRight w:val="0"/>
      <w:marTop w:val="0"/>
      <w:marBottom w:val="0"/>
      <w:divBdr>
        <w:top w:val="none" w:sz="0" w:space="0" w:color="auto"/>
        <w:left w:val="none" w:sz="0" w:space="0" w:color="auto"/>
        <w:bottom w:val="none" w:sz="0" w:space="0" w:color="auto"/>
        <w:right w:val="none" w:sz="0" w:space="0" w:color="auto"/>
      </w:divBdr>
    </w:div>
    <w:div w:id="1674646197">
      <w:bodyDiv w:val="1"/>
      <w:marLeft w:val="0"/>
      <w:marRight w:val="0"/>
      <w:marTop w:val="0"/>
      <w:marBottom w:val="0"/>
      <w:divBdr>
        <w:top w:val="none" w:sz="0" w:space="0" w:color="auto"/>
        <w:left w:val="none" w:sz="0" w:space="0" w:color="auto"/>
        <w:bottom w:val="none" w:sz="0" w:space="0" w:color="auto"/>
        <w:right w:val="none" w:sz="0" w:space="0" w:color="auto"/>
      </w:divBdr>
    </w:div>
    <w:div w:id="1703701780">
      <w:bodyDiv w:val="1"/>
      <w:marLeft w:val="0"/>
      <w:marRight w:val="0"/>
      <w:marTop w:val="0"/>
      <w:marBottom w:val="0"/>
      <w:divBdr>
        <w:top w:val="none" w:sz="0" w:space="0" w:color="auto"/>
        <w:left w:val="none" w:sz="0" w:space="0" w:color="auto"/>
        <w:bottom w:val="none" w:sz="0" w:space="0" w:color="auto"/>
        <w:right w:val="none" w:sz="0" w:space="0" w:color="auto"/>
      </w:divBdr>
    </w:div>
    <w:div w:id="1826507136">
      <w:bodyDiv w:val="1"/>
      <w:marLeft w:val="0"/>
      <w:marRight w:val="0"/>
      <w:marTop w:val="0"/>
      <w:marBottom w:val="0"/>
      <w:divBdr>
        <w:top w:val="none" w:sz="0" w:space="0" w:color="auto"/>
        <w:left w:val="none" w:sz="0" w:space="0" w:color="auto"/>
        <w:bottom w:val="none" w:sz="0" w:space="0" w:color="auto"/>
        <w:right w:val="none" w:sz="0" w:space="0" w:color="auto"/>
      </w:divBdr>
    </w:div>
    <w:div w:id="1923367644">
      <w:bodyDiv w:val="1"/>
      <w:marLeft w:val="0"/>
      <w:marRight w:val="0"/>
      <w:marTop w:val="0"/>
      <w:marBottom w:val="0"/>
      <w:divBdr>
        <w:top w:val="none" w:sz="0" w:space="0" w:color="auto"/>
        <w:left w:val="none" w:sz="0" w:space="0" w:color="auto"/>
        <w:bottom w:val="none" w:sz="0" w:space="0" w:color="auto"/>
        <w:right w:val="none" w:sz="0" w:space="0" w:color="auto"/>
      </w:divBdr>
    </w:div>
    <w:div w:id="1932004646">
      <w:bodyDiv w:val="1"/>
      <w:marLeft w:val="0"/>
      <w:marRight w:val="0"/>
      <w:marTop w:val="0"/>
      <w:marBottom w:val="0"/>
      <w:divBdr>
        <w:top w:val="none" w:sz="0" w:space="0" w:color="auto"/>
        <w:left w:val="none" w:sz="0" w:space="0" w:color="auto"/>
        <w:bottom w:val="none" w:sz="0" w:space="0" w:color="auto"/>
        <w:right w:val="none" w:sz="0" w:space="0" w:color="auto"/>
      </w:divBdr>
    </w:div>
    <w:div w:id="1974676592">
      <w:bodyDiv w:val="1"/>
      <w:marLeft w:val="0"/>
      <w:marRight w:val="0"/>
      <w:marTop w:val="0"/>
      <w:marBottom w:val="0"/>
      <w:divBdr>
        <w:top w:val="none" w:sz="0" w:space="0" w:color="auto"/>
        <w:left w:val="none" w:sz="0" w:space="0" w:color="auto"/>
        <w:bottom w:val="none" w:sz="0" w:space="0" w:color="auto"/>
        <w:right w:val="none" w:sz="0" w:space="0" w:color="auto"/>
      </w:divBdr>
    </w:div>
    <w:div w:id="1986353269">
      <w:bodyDiv w:val="1"/>
      <w:marLeft w:val="0"/>
      <w:marRight w:val="0"/>
      <w:marTop w:val="0"/>
      <w:marBottom w:val="0"/>
      <w:divBdr>
        <w:top w:val="none" w:sz="0" w:space="0" w:color="auto"/>
        <w:left w:val="none" w:sz="0" w:space="0" w:color="auto"/>
        <w:bottom w:val="none" w:sz="0" w:space="0" w:color="auto"/>
        <w:right w:val="none" w:sz="0" w:space="0" w:color="auto"/>
      </w:divBdr>
    </w:div>
    <w:div w:id="2030253868">
      <w:bodyDiv w:val="1"/>
      <w:marLeft w:val="0"/>
      <w:marRight w:val="0"/>
      <w:marTop w:val="0"/>
      <w:marBottom w:val="0"/>
      <w:divBdr>
        <w:top w:val="none" w:sz="0" w:space="0" w:color="auto"/>
        <w:left w:val="none" w:sz="0" w:space="0" w:color="auto"/>
        <w:bottom w:val="none" w:sz="0" w:space="0" w:color="auto"/>
        <w:right w:val="none" w:sz="0" w:space="0" w:color="auto"/>
      </w:divBdr>
    </w:div>
    <w:div w:id="2041586465">
      <w:bodyDiv w:val="1"/>
      <w:marLeft w:val="0"/>
      <w:marRight w:val="0"/>
      <w:marTop w:val="0"/>
      <w:marBottom w:val="0"/>
      <w:divBdr>
        <w:top w:val="none" w:sz="0" w:space="0" w:color="auto"/>
        <w:left w:val="none" w:sz="0" w:space="0" w:color="auto"/>
        <w:bottom w:val="none" w:sz="0" w:space="0" w:color="auto"/>
        <w:right w:val="none" w:sz="0" w:space="0" w:color="auto"/>
      </w:divBdr>
    </w:div>
    <w:div w:id="2072341063">
      <w:bodyDiv w:val="1"/>
      <w:marLeft w:val="0"/>
      <w:marRight w:val="0"/>
      <w:marTop w:val="0"/>
      <w:marBottom w:val="0"/>
      <w:divBdr>
        <w:top w:val="none" w:sz="0" w:space="0" w:color="auto"/>
        <w:left w:val="none" w:sz="0" w:space="0" w:color="auto"/>
        <w:bottom w:val="none" w:sz="0" w:space="0" w:color="auto"/>
        <w:right w:val="none" w:sz="0" w:space="0" w:color="auto"/>
      </w:divBdr>
    </w:div>
    <w:div w:id="2072999316">
      <w:bodyDiv w:val="1"/>
      <w:marLeft w:val="0"/>
      <w:marRight w:val="0"/>
      <w:marTop w:val="0"/>
      <w:marBottom w:val="0"/>
      <w:divBdr>
        <w:top w:val="none" w:sz="0" w:space="0" w:color="auto"/>
        <w:left w:val="none" w:sz="0" w:space="0" w:color="auto"/>
        <w:bottom w:val="none" w:sz="0" w:space="0" w:color="auto"/>
        <w:right w:val="none" w:sz="0" w:space="0" w:color="auto"/>
      </w:divBdr>
    </w:div>
    <w:div w:id="2081829583">
      <w:bodyDiv w:val="1"/>
      <w:marLeft w:val="0"/>
      <w:marRight w:val="0"/>
      <w:marTop w:val="0"/>
      <w:marBottom w:val="0"/>
      <w:divBdr>
        <w:top w:val="none" w:sz="0" w:space="0" w:color="auto"/>
        <w:left w:val="none" w:sz="0" w:space="0" w:color="auto"/>
        <w:bottom w:val="none" w:sz="0" w:space="0" w:color="auto"/>
        <w:right w:val="none" w:sz="0" w:space="0" w:color="auto"/>
      </w:divBdr>
    </w:div>
    <w:div w:id="2092923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zhang-xd23@mails.tsinghua.edu.cn" TargetMode="External"/><Relationship Id="rId10" Type="http://schemas.openxmlformats.org/officeDocument/2006/relationships/fontTable" Target="fontTable.xml"/><Relationship Id="rId4" Type="http://schemas.openxmlformats.org/officeDocument/2006/relationships/hyperlink" Target="mailto:wljean@126.com" TargetMode="Externa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.~WRD0000</Template>
  <TotalTime>275</TotalTime>
  <Pages>21</Pages>
  <Words>11140</Words>
  <Characters>33200</Characters>
  <Application>Microsoft Office Word</Application>
  <DocSecurity>0</DocSecurity>
  <Lines>809</Lines>
  <Paragraphs>509</Paragraphs>
  <ScaleCrop>false</ScaleCrop>
  <Company/>
  <LinksUpToDate>false</LinksUpToDate>
  <CharactersWithSpaces>43831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良 王</cp:lastModifiedBy>
  <cp:revision>68</cp:revision>
  <dcterms:created xsi:type="dcterms:W3CDTF">2026-04-05T00:54:00Z</dcterms:created>
  <dcterms:modified xsi:type="dcterms:W3CDTF">2026-04-05T08:37:00Z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77F69F609FCA379BC9B0CB69D0101550_42</vt:lpwstr>
  </property>
</Properties>
</file>