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7E0B7"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 w:val="36"/>
          <w:szCs w:val="40"/>
        </w:rPr>
      </w:pPr>
      <w:r>
        <w:rPr>
          <w:rFonts w:ascii="Times New Roman" w:eastAsia="仿宋" w:hAnsi="Times New Roman" w:cs="Times New Roman"/>
          <w:color w:val="3B5AA2"/>
          <w:sz w:val="36"/>
          <w:szCs w:val="40"/>
        </w:rPr>
        <w:t>城市快速路危险品车辆事故场景下的应急物资配送与多类型人员救援疏散协同优化研究</w:t>
      </w:r>
      <w:r>
        <w:rPr>
          <w:rFonts w:ascii="Times New Roman" w:eastAsia="仿宋" w:hAnsi="Times New Roman" w:cs="Times New Roman"/>
          <w:color w:val="3B5AA2"/>
          <w:sz w:val="36"/>
          <w:szCs w:val="40"/>
        </w:rPr>
        <w:t>——</w:t>
      </w:r>
      <w:r>
        <w:rPr>
          <w:rFonts w:ascii="Times New Roman" w:eastAsia="仿宋" w:hAnsi="Times New Roman" w:cs="Times New Roman"/>
          <w:color w:val="3B5AA2"/>
          <w:sz w:val="36"/>
          <w:szCs w:val="40"/>
        </w:rPr>
        <w:t>以北京六环路为例</w:t>
      </w:r>
    </w:p>
    <w:p w14:paraId="41247996"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Cs w:val="32"/>
        </w:rPr>
      </w:pPr>
      <w:r>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2F5956AB" w14:textId="77777777" w:rsidR="00EB0048" w:rsidRDefault="00000000">
      <w:pPr>
        <w:pStyle w:val="Author"/>
        <w:rPr>
          <w:rFonts w:eastAsia="仿宋"/>
          <w:lang w:eastAsia="zh-CN"/>
        </w:rPr>
      </w:pPr>
      <w:r>
        <w:t>Liang Wang</w:t>
      </w:r>
      <w:r>
        <w:rPr>
          <w:rFonts w:eastAsia="仿宋"/>
          <w:color w:val="000000"/>
          <w:vertAlign w:val="superscript"/>
        </w:rPr>
        <w:t>1</w:t>
      </w:r>
      <w:r>
        <w:rPr>
          <w:rFonts w:eastAsia="仿宋"/>
          <w:color w:val="000000"/>
          <w:vertAlign w:val="superscript"/>
          <w:lang w:eastAsia="zh-CN"/>
        </w:rPr>
        <w:t xml:space="preserve">,2 </w:t>
      </w:r>
      <w:r>
        <w:rPr>
          <w:lang w:eastAsia="zh-CN"/>
        </w:rPr>
        <w:t xml:space="preserve"> </w:t>
      </w:r>
      <w:r>
        <w:t>Yu Guan</w:t>
      </w:r>
      <w:r>
        <w:rPr>
          <w:rFonts w:eastAsia="仿宋"/>
          <w:color w:val="000000"/>
          <w:vertAlign w:val="superscript"/>
          <w:lang w:eastAsia="zh-CN"/>
        </w:rPr>
        <w:t xml:space="preserve">2 </w:t>
      </w:r>
      <w:r>
        <w:rPr>
          <w:lang w:eastAsia="zh-CN"/>
        </w:rPr>
        <w:t xml:space="preserve"> He</w:t>
      </w:r>
      <w:r>
        <w:t xml:space="preserve"> </w:t>
      </w:r>
      <w:r>
        <w:rPr>
          <w:lang w:eastAsia="zh-CN"/>
        </w:rPr>
        <w:t>Wei</w:t>
      </w:r>
      <w:r>
        <w:rPr>
          <w:rFonts w:eastAsia="仿宋"/>
          <w:color w:val="000000"/>
          <w:vertAlign w:val="superscript"/>
          <w:lang w:eastAsia="zh-CN"/>
        </w:rPr>
        <w:t xml:space="preserve">2 </w:t>
      </w:r>
      <w:r>
        <w:rPr>
          <w:lang w:eastAsia="zh-CN"/>
        </w:rPr>
        <w:t xml:space="preserve"> </w:t>
      </w:r>
      <w:r>
        <w:t>Xiaodong Zhang</w:t>
      </w:r>
      <w:r>
        <w:rPr>
          <w:rFonts w:eastAsia="仿宋"/>
          <w:color w:val="000000"/>
          <w:vertAlign w:val="superscript"/>
          <w:lang w:eastAsia="zh-CN"/>
        </w:rPr>
        <w:t>2,*</w:t>
      </w:r>
    </w:p>
    <w:p w14:paraId="115EBC89" w14:textId="77777777" w:rsidR="00EB0048" w:rsidRDefault="00000000">
      <w:pPr>
        <w:pStyle w:val="Affiliation"/>
        <w:rPr>
          <w:lang w:eastAsia="zh-CN"/>
        </w:rPr>
      </w:pPr>
      <w:r>
        <w:rPr>
          <w:lang w:eastAsia="zh-CN"/>
        </w:rPr>
        <w:t>1 School of Economics and Management, Beijing Jiaotong University, Beijing, 100044, China.</w:t>
      </w:r>
    </w:p>
    <w:p w14:paraId="7A738226" w14:textId="77777777" w:rsidR="00EB0048" w:rsidRDefault="00000000">
      <w:pPr>
        <w:pStyle w:val="Affiliation"/>
        <w:rPr>
          <w:lang w:eastAsia="zh-CN"/>
        </w:rPr>
      </w:pPr>
      <w:r>
        <w:rPr>
          <w:lang w:eastAsia="zh-CN"/>
        </w:rPr>
        <w:t>2 Beijing Municipal Institute of City Planning and Design, Beijing, 100045, China.</w:t>
      </w:r>
    </w:p>
    <w:p w14:paraId="3C54D65A" w14:textId="77777777" w:rsidR="00EB0048" w:rsidRDefault="00000000">
      <w:pPr>
        <w:pStyle w:val="Affiliation"/>
        <w:rPr>
          <w:lang w:eastAsia="zh-CN"/>
        </w:rPr>
      </w:pPr>
      <w:r>
        <w:rPr>
          <w:lang w:eastAsia="zh-CN"/>
        </w:rPr>
        <w:t xml:space="preserve">Liang Wang : </w:t>
      </w:r>
      <w:hyperlink r:id="rId4" w:history="1">
        <w:r>
          <w:rPr>
            <w:rStyle w:val="a6"/>
            <w:lang w:eastAsia="zh-CN"/>
          </w:rPr>
          <w:t>wljean@126.com</w:t>
        </w:r>
      </w:hyperlink>
    </w:p>
    <w:p w14:paraId="1DB01FC7" w14:textId="77777777" w:rsidR="00EB0048" w:rsidRDefault="00EB0048">
      <w:pPr>
        <w:autoSpaceDE w:val="0"/>
        <w:autoSpaceDN w:val="0"/>
        <w:adjustRightInd w:val="0"/>
        <w:snapToGrid w:val="0"/>
        <w:spacing w:line="360" w:lineRule="auto"/>
        <w:textAlignment w:val="center"/>
        <w:rPr>
          <w:rFonts w:ascii="Times New Roman" w:eastAsia="仿宋" w:hAnsi="Times New Roman" w:cs="Times New Roman"/>
          <w:color w:val="000000"/>
        </w:rPr>
      </w:pPr>
    </w:p>
    <w:p w14:paraId="08BFCA0C" w14:textId="77777777" w:rsidR="00EB0048" w:rsidRDefault="00000000">
      <w:pPr>
        <w:pStyle w:val="Affiliation"/>
        <w:rPr>
          <w:lang w:eastAsia="zh-CN"/>
        </w:rPr>
      </w:pPr>
      <w:r>
        <w:rPr>
          <w:lang w:eastAsia="zh-CN"/>
        </w:rPr>
        <w:t>* Corresponding author: Xiaodong Zhang</w:t>
      </w:r>
      <w:hyperlink r:id="rId5" w:history="1">
        <w:r>
          <w:rPr>
            <w:rStyle w:val="a6"/>
            <w:lang w:eastAsia="zh-CN"/>
          </w:rPr>
          <w:t>(zhang-xd23@mails.tsinghua.edu.cn</w:t>
        </w:r>
      </w:hyperlink>
      <w:r>
        <w:rPr>
          <w:lang w:eastAsia="zh-CN"/>
        </w:rPr>
        <w:t>)</w:t>
      </w:r>
    </w:p>
    <w:p w14:paraId="40B6DD0A" w14:textId="77777777" w:rsidR="00EB0048" w:rsidRDefault="00EB0048">
      <w:pPr>
        <w:spacing w:before="200" w:after="100"/>
        <w:rPr>
          <w:rFonts w:ascii="Times New Roman" w:eastAsia="黑体" w:hAnsi="Times New Roman" w:cs="Times New Roman"/>
          <w:b/>
          <w:bCs/>
          <w:sz w:val="24"/>
          <w:szCs w:val="24"/>
        </w:rPr>
      </w:pPr>
    </w:p>
    <w:p w14:paraId="424AA8B1" w14:textId="77777777" w:rsidR="00EB0048" w:rsidRDefault="00000000">
      <w:pPr>
        <w:spacing w:before="200" w:after="100"/>
        <w:rPr>
          <w:rFonts w:ascii="Times New Roman" w:hAnsi="Times New Roman" w:cs="Times New Roman"/>
        </w:rPr>
      </w:pPr>
      <w:r>
        <w:rPr>
          <w:rFonts w:ascii="Times New Roman" w:eastAsia="黑体" w:hAnsi="Times New Roman" w:cs="Times New Roman"/>
          <w:b/>
          <w:bCs/>
          <w:sz w:val="24"/>
          <w:szCs w:val="24"/>
        </w:rPr>
        <w:t>摘要</w:t>
      </w:r>
    </w:p>
    <w:p w14:paraId="453662E5" w14:textId="77777777" w:rsidR="00EB0048" w:rsidRDefault="00000000">
      <w:pPr>
        <w:spacing w:after="2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color w:val="000000"/>
          <w:spacing w:val="-2"/>
          <w:w w:val="99"/>
          <w:sz w:val="24"/>
          <w:szCs w:val="20"/>
        </w:rPr>
        <w:tab/>
      </w:r>
      <w:r>
        <w:rPr>
          <w:rFonts w:ascii="Times New Roman" w:eastAsia="仿宋" w:hAnsi="Times New Roman" w:cs="Times New Roman"/>
          <w:color w:val="000000"/>
          <w:spacing w:val="-2"/>
          <w:w w:val="99"/>
          <w:sz w:val="24"/>
          <w:szCs w:val="20"/>
        </w:rPr>
        <w:t>城市快速路危险品运输车辆事故可引发有毒气体泄漏等复合型灾害，对公共安全构成严重威胁，亟需在严格时间约束下实现应急物资配送与人员疏散的协同优化。本研究以北京六环路太和桥立交附近的氯气泄漏事故为场景，构建了一体化的应急协同优化框架。首先，采用高斯烟羽模型模拟氯气扩散过程，基于</w:t>
      </w:r>
      <w:r>
        <w:rPr>
          <w:rFonts w:ascii="Times New Roman" w:eastAsia="仿宋" w:hAnsi="Times New Roman" w:cs="Times New Roman"/>
          <w:color w:val="000000"/>
          <w:spacing w:val="-2"/>
          <w:w w:val="99"/>
          <w:sz w:val="24"/>
          <w:szCs w:val="20"/>
        </w:rPr>
        <w:t>ERPG</w:t>
      </w:r>
      <w:r>
        <w:rPr>
          <w:rFonts w:ascii="Times New Roman" w:eastAsia="仿宋" w:hAnsi="Times New Roman" w:cs="Times New Roman"/>
          <w:color w:val="000000"/>
          <w:spacing w:val="-2"/>
          <w:w w:val="99"/>
          <w:sz w:val="24"/>
          <w:szCs w:val="20"/>
        </w:rPr>
        <w:t>毒性阈值划定三级危险区域。其次，在物资配送方面，构建</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供应点</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中转站</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需求点</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三层物流网络，设计货车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无人机协同配送机制，将物资划分为四个优先级类别并设置差异化时间窗约束；在人员疏散方面，建立基于</w:t>
      </w:r>
      <w:r>
        <w:rPr>
          <w:rFonts w:ascii="Times New Roman" w:eastAsia="仿宋" w:hAnsi="Times New Roman" w:cs="Times New Roman"/>
          <w:color w:val="000000"/>
          <w:spacing w:val="-2"/>
          <w:w w:val="99"/>
          <w:sz w:val="24"/>
          <w:szCs w:val="20"/>
        </w:rPr>
        <w:t>ERPG</w:t>
      </w:r>
      <w:r>
        <w:rPr>
          <w:rFonts w:ascii="Times New Roman" w:eastAsia="仿宋" w:hAnsi="Times New Roman" w:cs="Times New Roman"/>
          <w:color w:val="000000"/>
          <w:spacing w:val="-2"/>
          <w:w w:val="99"/>
          <w:sz w:val="24"/>
          <w:szCs w:val="20"/>
        </w:rPr>
        <w:t>分区的风险感知时间步进式调度模型，将受影响人口按脆弱性分为三类并按区域实施差异化响应（强制疏散或就地避难），协调救护车、直升机、公交车、私家车和地铁五种交通方式实施疏散。研究融合手机定位</w:t>
      </w:r>
      <w:r>
        <w:rPr>
          <w:rFonts w:ascii="Times New Roman" w:eastAsia="仿宋" w:hAnsi="Times New Roman" w:cs="Times New Roman"/>
          <w:color w:val="000000"/>
          <w:spacing w:val="-2"/>
          <w:w w:val="99"/>
          <w:sz w:val="24"/>
          <w:szCs w:val="20"/>
        </w:rPr>
        <w:t>OD</w:t>
      </w:r>
      <w:r>
        <w:rPr>
          <w:rFonts w:ascii="Times New Roman" w:eastAsia="仿宋" w:hAnsi="Times New Roman" w:cs="Times New Roman"/>
          <w:color w:val="000000"/>
          <w:spacing w:val="-2"/>
          <w:w w:val="99"/>
          <w:sz w:val="24"/>
          <w:szCs w:val="20"/>
        </w:rPr>
        <w:t>数据、</w:t>
      </w:r>
      <w:r>
        <w:rPr>
          <w:rFonts w:ascii="Times New Roman" w:eastAsia="仿宋" w:hAnsi="Times New Roman" w:cs="Times New Roman"/>
          <w:color w:val="000000"/>
          <w:spacing w:val="-2"/>
          <w:w w:val="99"/>
          <w:sz w:val="24"/>
          <w:szCs w:val="20"/>
        </w:rPr>
        <w:t>POI</w:t>
      </w:r>
      <w:r>
        <w:rPr>
          <w:rFonts w:ascii="Times New Roman" w:eastAsia="仿宋" w:hAnsi="Times New Roman" w:cs="Times New Roman"/>
          <w:color w:val="000000"/>
          <w:spacing w:val="-2"/>
          <w:w w:val="99"/>
          <w:sz w:val="24"/>
          <w:szCs w:val="20"/>
        </w:rPr>
        <w:t>数据库、七普人口年龄结构数据和</w:t>
      </w:r>
      <w:r>
        <w:rPr>
          <w:rFonts w:ascii="Times New Roman" w:eastAsia="仿宋" w:hAnsi="Times New Roman" w:cs="Times New Roman"/>
          <w:color w:val="000000"/>
          <w:spacing w:val="-2"/>
          <w:w w:val="99"/>
          <w:sz w:val="24"/>
          <w:szCs w:val="20"/>
        </w:rPr>
        <w:t>OpenStreetMap</w:t>
      </w:r>
      <w:r>
        <w:rPr>
          <w:rFonts w:ascii="Times New Roman" w:eastAsia="仿宋" w:hAnsi="Times New Roman" w:cs="Times New Roman"/>
          <w:color w:val="000000"/>
          <w:spacing w:val="-2"/>
          <w:w w:val="99"/>
          <w:sz w:val="24"/>
          <w:szCs w:val="20"/>
        </w:rPr>
        <w:t>路网等多源城市数据。数值实验表明：就地避难人口产生的物资需求使配送任务从</w:t>
      </w:r>
      <w:r>
        <w:rPr>
          <w:rFonts w:ascii="Times New Roman" w:eastAsia="仿宋" w:hAnsi="Times New Roman" w:cs="Times New Roman"/>
          <w:color w:val="000000"/>
          <w:spacing w:val="-2"/>
          <w:w w:val="99"/>
          <w:sz w:val="24"/>
          <w:szCs w:val="20"/>
        </w:rPr>
        <w:t>40</w:t>
      </w:r>
      <w:r>
        <w:rPr>
          <w:rFonts w:ascii="Times New Roman" w:eastAsia="仿宋" w:hAnsi="Times New Roman" w:cs="Times New Roman"/>
          <w:color w:val="000000"/>
          <w:spacing w:val="-2"/>
          <w:w w:val="99"/>
          <w:sz w:val="24"/>
          <w:szCs w:val="20"/>
        </w:rPr>
        <w:t>项增至</w:t>
      </w:r>
      <w:r>
        <w:rPr>
          <w:rFonts w:ascii="Times New Roman" w:eastAsia="仿宋" w:hAnsi="Times New Roman" w:cs="Times New Roman"/>
          <w:color w:val="000000"/>
          <w:spacing w:val="-2"/>
          <w:w w:val="99"/>
          <w:sz w:val="24"/>
          <w:szCs w:val="20"/>
        </w:rPr>
        <w:t>70</w:t>
      </w:r>
      <w:r>
        <w:rPr>
          <w:rFonts w:ascii="Times New Roman" w:eastAsia="仿宋" w:hAnsi="Times New Roman" w:cs="Times New Roman"/>
          <w:color w:val="000000"/>
          <w:spacing w:val="-2"/>
          <w:w w:val="99"/>
          <w:sz w:val="24"/>
          <w:szCs w:val="20"/>
        </w:rPr>
        <w:t>项，纯货车方案完成</w:t>
      </w:r>
      <w:r>
        <w:rPr>
          <w:rFonts w:ascii="Times New Roman" w:eastAsia="仿宋" w:hAnsi="Times New Roman" w:cs="Times New Roman"/>
          <w:color w:val="000000"/>
          <w:spacing w:val="-2"/>
          <w:w w:val="99"/>
          <w:sz w:val="24"/>
          <w:szCs w:val="20"/>
        </w:rPr>
        <w:t>64</w:t>
      </w:r>
      <w:r>
        <w:rPr>
          <w:rFonts w:ascii="Times New Roman" w:eastAsia="仿宋" w:hAnsi="Times New Roman" w:cs="Times New Roman"/>
          <w:color w:val="000000"/>
          <w:spacing w:val="-2"/>
          <w:w w:val="99"/>
          <w:sz w:val="24"/>
          <w:szCs w:val="20"/>
        </w:rPr>
        <w:t>项（</w:t>
      </w:r>
      <w:r>
        <w:rPr>
          <w:rFonts w:ascii="Times New Roman" w:eastAsia="仿宋" w:hAnsi="Times New Roman" w:cs="Times New Roman"/>
          <w:color w:val="000000"/>
          <w:spacing w:val="-2"/>
          <w:w w:val="99"/>
          <w:sz w:val="24"/>
          <w:szCs w:val="20"/>
        </w:rPr>
        <w:t>Makespan 47.3 min</w:t>
      </w:r>
      <w:r>
        <w:rPr>
          <w:rFonts w:ascii="Times New Roman" w:eastAsia="仿宋" w:hAnsi="Times New Roman" w:cs="Times New Roman"/>
          <w:color w:val="000000"/>
          <w:spacing w:val="-2"/>
          <w:w w:val="99"/>
          <w:sz w:val="24"/>
          <w:szCs w:val="20"/>
        </w:rPr>
        <w:t>），货车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无人机协同将接力配送任务从</w:t>
      </w:r>
      <w:r>
        <w:rPr>
          <w:rFonts w:ascii="Times New Roman" w:eastAsia="仿宋" w:hAnsi="Times New Roman" w:cs="Times New Roman"/>
          <w:color w:val="000000"/>
          <w:spacing w:val="-2"/>
          <w:w w:val="99"/>
          <w:sz w:val="24"/>
          <w:szCs w:val="20"/>
        </w:rPr>
        <w:t>0</w:t>
      </w:r>
      <w:r>
        <w:rPr>
          <w:rFonts w:ascii="Times New Roman" w:eastAsia="仿宋" w:hAnsi="Times New Roman" w:cs="Times New Roman"/>
          <w:color w:val="000000"/>
          <w:spacing w:val="-2"/>
          <w:w w:val="99"/>
          <w:sz w:val="24"/>
          <w:szCs w:val="20"/>
        </w:rPr>
        <w:t>项增至</w:t>
      </w:r>
      <w:r>
        <w:rPr>
          <w:rFonts w:ascii="Times New Roman" w:eastAsia="仿宋" w:hAnsi="Times New Roman" w:cs="Times New Roman"/>
          <w:color w:val="000000"/>
          <w:spacing w:val="-2"/>
          <w:w w:val="99"/>
          <w:sz w:val="24"/>
          <w:szCs w:val="20"/>
        </w:rPr>
        <w:t>4</w:t>
      </w:r>
      <w:r>
        <w:rPr>
          <w:rFonts w:ascii="Times New Roman" w:eastAsia="仿宋" w:hAnsi="Times New Roman" w:cs="Times New Roman"/>
          <w:color w:val="000000"/>
          <w:spacing w:val="-2"/>
          <w:w w:val="99"/>
          <w:sz w:val="24"/>
          <w:szCs w:val="20"/>
        </w:rPr>
        <w:t>项；基于</w:t>
      </w:r>
      <w:r>
        <w:rPr>
          <w:rFonts w:ascii="Times New Roman" w:eastAsia="仿宋" w:hAnsi="Times New Roman" w:cs="Times New Roman"/>
          <w:color w:val="000000"/>
          <w:spacing w:val="-2"/>
          <w:w w:val="99"/>
          <w:sz w:val="24"/>
          <w:szCs w:val="20"/>
        </w:rPr>
        <w:t>ERPG</w:t>
      </w:r>
      <w:r>
        <w:rPr>
          <w:rFonts w:ascii="Times New Roman" w:eastAsia="仿宋" w:hAnsi="Times New Roman" w:cs="Times New Roman"/>
          <w:color w:val="000000"/>
          <w:spacing w:val="-2"/>
          <w:w w:val="99"/>
          <w:sz w:val="24"/>
          <w:szCs w:val="20"/>
        </w:rPr>
        <w:t>分区的差异化策略将需疏散人口从</w:t>
      </w:r>
      <w:r>
        <w:rPr>
          <w:rFonts w:ascii="Times New Roman" w:eastAsia="仿宋" w:hAnsi="Times New Roman" w:cs="Times New Roman"/>
          <w:color w:val="000000"/>
          <w:spacing w:val="-2"/>
          <w:w w:val="99"/>
          <w:sz w:val="24"/>
          <w:szCs w:val="20"/>
        </w:rPr>
        <w:t>23.5</w:t>
      </w:r>
      <w:r>
        <w:rPr>
          <w:rFonts w:ascii="Times New Roman" w:eastAsia="仿宋" w:hAnsi="Times New Roman" w:cs="Times New Roman"/>
          <w:color w:val="000000"/>
          <w:spacing w:val="-2"/>
          <w:w w:val="99"/>
          <w:sz w:val="24"/>
          <w:szCs w:val="20"/>
        </w:rPr>
        <w:t>万缩减至</w:t>
      </w:r>
      <w:r>
        <w:rPr>
          <w:rFonts w:ascii="Times New Roman" w:eastAsia="仿宋" w:hAnsi="Times New Roman" w:cs="Times New Roman"/>
          <w:color w:val="000000"/>
          <w:spacing w:val="-2"/>
          <w:w w:val="99"/>
          <w:sz w:val="24"/>
          <w:szCs w:val="20"/>
        </w:rPr>
        <w:t>1.38</w:t>
      </w:r>
      <w:r>
        <w:rPr>
          <w:rFonts w:ascii="Times New Roman" w:eastAsia="仿宋" w:hAnsi="Times New Roman" w:cs="Times New Roman"/>
          <w:color w:val="000000"/>
          <w:spacing w:val="-2"/>
          <w:w w:val="99"/>
          <w:sz w:val="24"/>
          <w:szCs w:val="20"/>
        </w:rPr>
        <w:t>万，基准方案疏散率达</w:t>
      </w:r>
      <w:r>
        <w:rPr>
          <w:rFonts w:ascii="Times New Roman" w:eastAsia="仿宋" w:hAnsi="Times New Roman" w:cs="Times New Roman"/>
          <w:color w:val="000000"/>
          <w:spacing w:val="-2"/>
          <w:w w:val="99"/>
          <w:sz w:val="24"/>
          <w:szCs w:val="20"/>
        </w:rPr>
        <w:t>41.0%</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k=2</w:t>
      </w:r>
      <w:r>
        <w:rPr>
          <w:rFonts w:ascii="Times New Roman" w:eastAsia="仿宋" w:hAnsi="Times New Roman" w:cs="Times New Roman"/>
          <w:color w:val="000000"/>
          <w:spacing w:val="-2"/>
          <w:w w:val="99"/>
          <w:sz w:val="24"/>
          <w:szCs w:val="20"/>
        </w:rPr>
        <w:t>类脆弱群体实现</w:t>
      </w:r>
      <w:r>
        <w:rPr>
          <w:rFonts w:ascii="Times New Roman" w:eastAsia="仿宋" w:hAnsi="Times New Roman" w:cs="Times New Roman"/>
          <w:color w:val="000000"/>
          <w:spacing w:val="-2"/>
          <w:w w:val="99"/>
          <w:sz w:val="24"/>
          <w:szCs w:val="20"/>
        </w:rPr>
        <w:t>100%</w:t>
      </w:r>
      <w:r>
        <w:rPr>
          <w:rFonts w:ascii="Times New Roman" w:eastAsia="仿宋" w:hAnsi="Times New Roman" w:cs="Times New Roman"/>
          <w:color w:val="000000"/>
          <w:spacing w:val="-2"/>
          <w:w w:val="99"/>
          <w:sz w:val="24"/>
          <w:szCs w:val="20"/>
        </w:rPr>
        <w:t>疏散；但</w:t>
      </w:r>
      <w:r>
        <w:rPr>
          <w:rFonts w:ascii="Times New Roman" w:eastAsia="仿宋" w:hAnsi="Times New Roman" w:cs="Times New Roman"/>
          <w:color w:val="000000"/>
          <w:spacing w:val="-2"/>
          <w:w w:val="99"/>
          <w:sz w:val="24"/>
          <w:szCs w:val="20"/>
        </w:rPr>
        <w:t>k=1</w:t>
      </w:r>
      <w:r>
        <w:rPr>
          <w:rFonts w:ascii="Times New Roman" w:eastAsia="仿宋" w:hAnsi="Times New Roman" w:cs="Times New Roman"/>
          <w:color w:val="000000"/>
          <w:spacing w:val="-2"/>
          <w:w w:val="99"/>
          <w:sz w:val="24"/>
          <w:szCs w:val="20"/>
        </w:rPr>
        <w:t>类重伤人员受限于救护车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直升机运力，疏散率仅</w:t>
      </w:r>
      <w:r>
        <w:rPr>
          <w:rFonts w:ascii="Times New Roman" w:eastAsia="仿宋" w:hAnsi="Times New Roman" w:cs="Times New Roman"/>
          <w:color w:val="000000"/>
          <w:spacing w:val="-2"/>
          <w:w w:val="99"/>
          <w:sz w:val="24"/>
          <w:szCs w:val="20"/>
        </w:rPr>
        <w:t>2.8%</w:t>
      </w:r>
      <w:r>
        <w:rPr>
          <w:rFonts w:ascii="Times New Roman" w:eastAsia="仿宋" w:hAnsi="Times New Roman" w:cs="Times New Roman"/>
          <w:color w:val="000000"/>
          <w:spacing w:val="-2"/>
          <w:w w:val="99"/>
          <w:sz w:val="24"/>
          <w:szCs w:val="20"/>
        </w:rPr>
        <w:t>，揭示了专用急救运力的瓶颈。韧性评估揭示了</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物资高韧性</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疏散低韧性</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的不对称特征，为城市危险品事故应急管理提供了决策参考。</w:t>
      </w:r>
    </w:p>
    <w:p w14:paraId="527CC7CD" w14:textId="77777777" w:rsidR="00EB0048" w:rsidRDefault="00000000">
      <w:pPr>
        <w:spacing w:after="4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b/>
          <w:bCs/>
          <w:color w:val="000000"/>
          <w:spacing w:val="-2"/>
          <w:w w:val="99"/>
          <w:sz w:val="24"/>
          <w:szCs w:val="20"/>
        </w:rPr>
        <w:lastRenderedPageBreak/>
        <w:t>关键词：</w:t>
      </w:r>
      <w:r>
        <w:rPr>
          <w:rFonts w:ascii="Times New Roman" w:eastAsia="仿宋" w:hAnsi="Times New Roman" w:cs="Times New Roman"/>
          <w:color w:val="000000"/>
          <w:spacing w:val="-2"/>
          <w:w w:val="99"/>
          <w:sz w:val="24"/>
          <w:szCs w:val="20"/>
        </w:rPr>
        <w:t>应急物流；货车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无人机协同；多类型疏散；危险品事故；城市快速路；交通韧性</w:t>
      </w:r>
    </w:p>
    <w:p w14:paraId="1809F0CC" w14:textId="77777777" w:rsidR="00EB0048" w:rsidRPr="00DF7303" w:rsidRDefault="00000000" w:rsidP="00E40709">
      <w:pPr>
        <w:pStyle w:val="1"/>
        <w:keepNext/>
        <w:keepLines/>
        <w:widowControl w:val="0"/>
        <w:spacing w:before="340" w:after="330" w:line="360"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szCs w:val="24"/>
        </w:rPr>
        <w:t xml:space="preserve">1 </w:t>
      </w:r>
      <w:r>
        <w:rPr>
          <w:rFonts w:ascii="Times New Roman" w:eastAsia="仿宋" w:hAnsi="Times New Roman" w:cs="Times New Roman"/>
          <w:color w:val="3B5AA2"/>
          <w:position w:val="16"/>
          <w:sz w:val="32"/>
          <w:szCs w:val="24"/>
        </w:rPr>
        <w:t>引言</w:t>
      </w:r>
    </w:p>
    <w:p w14:paraId="5067761C" w14:textId="77777777" w:rsidR="00CE3F53" w:rsidRPr="00CE3F53" w:rsidRDefault="00CE3F53" w:rsidP="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城市快速路在承载通勤与货运流量的同时也是危险品运输的主要通道，一旦发生事故，有毒气体泄漏、爆炸等后果可引发需多部门协同应对的复合型灾害</w:t>
      </w:r>
      <w:bookmarkStart w:id="0" w:name="OLE_LINK81"/>
      <w:bookmarkStart w:id="1" w:name="OLE_LINK82"/>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w:t>
      </w:r>
      <w:r>
        <w:rPr>
          <w:rFonts w:ascii="Times New Roman" w:eastAsia="仿宋" w:hAnsi="Times New Roman" w:cs="Times New Roman"/>
          <w:sz w:val="24"/>
          <w:szCs w:val="24"/>
        </w:rPr>
        <w:fldChar w:fldCharType="end"/>
      </w:r>
      <w:bookmarkEnd w:id="0"/>
      <w:bookmarkEnd w:id="1"/>
      <w:r>
        <w:rPr>
          <w:rFonts w:ascii="Times New Roman" w:eastAsia="仿宋" w:hAnsi="Times New Roman" w:cs="Times New Roman"/>
          <w:sz w:val="24"/>
          <w:szCs w:val="24"/>
        </w:rPr>
        <w:t>。近年来，国内已多次出现因危险品运输事故导致的大规模应急事件（如</w:t>
      </w:r>
      <w:r>
        <w:rPr>
          <w:rFonts w:ascii="Times New Roman" w:eastAsia="仿宋" w:hAnsi="Times New Roman" w:cs="Times New Roman"/>
          <w:sz w:val="24"/>
          <w:szCs w:val="24"/>
        </w:rPr>
        <w:t>2005</w:t>
      </w:r>
      <w:r>
        <w:rPr>
          <w:rFonts w:ascii="Times New Roman" w:eastAsia="仿宋" w:hAnsi="Times New Roman" w:cs="Times New Roman"/>
          <w:sz w:val="24"/>
          <w:szCs w:val="24"/>
        </w:rPr>
        <w:t>年京沪高速淮安段液氯运输车侧翻致</w:t>
      </w:r>
      <w:r>
        <w:rPr>
          <w:rFonts w:ascii="Times New Roman" w:eastAsia="仿宋" w:hAnsi="Times New Roman" w:cs="Times New Roman"/>
          <w:sz w:val="24"/>
          <w:szCs w:val="24"/>
        </w:rPr>
        <w:t>29</w:t>
      </w:r>
      <w:r>
        <w:rPr>
          <w:rFonts w:ascii="Times New Roman" w:eastAsia="仿宋" w:hAnsi="Times New Roman" w:cs="Times New Roman"/>
          <w:sz w:val="24"/>
          <w:szCs w:val="24"/>
        </w:rPr>
        <w:t>人死亡并疏散万余人、</w:t>
      </w:r>
      <w:r>
        <w:rPr>
          <w:rFonts w:ascii="Times New Roman" w:eastAsia="仿宋" w:hAnsi="Times New Roman" w:cs="Times New Roman"/>
          <w:sz w:val="24"/>
          <w:szCs w:val="24"/>
        </w:rPr>
        <w:t>2020</w:t>
      </w:r>
      <w:r>
        <w:rPr>
          <w:rFonts w:ascii="Times New Roman" w:eastAsia="仿宋" w:hAnsi="Times New Roman" w:cs="Times New Roman"/>
          <w:sz w:val="24"/>
          <w:szCs w:val="24"/>
        </w:rPr>
        <w:t>年温岭槽罐车爆炸致</w:t>
      </w:r>
      <w:r>
        <w:rPr>
          <w:rFonts w:ascii="Times New Roman" w:eastAsia="仿宋" w:hAnsi="Times New Roman" w:cs="Times New Roman"/>
          <w:sz w:val="24"/>
          <w:szCs w:val="24"/>
        </w:rPr>
        <w:t>20</w:t>
      </w:r>
      <w:r>
        <w:rPr>
          <w:rFonts w:ascii="Times New Roman" w:eastAsia="仿宋" w:hAnsi="Times New Roman" w:cs="Times New Roman"/>
          <w:sz w:val="24"/>
          <w:szCs w:val="24"/>
        </w:rPr>
        <w:t>人死亡），充分暴露了城市交通网络在此类场景下的脆弱性。北京六环路全长约</w:t>
      </w:r>
      <w:r>
        <w:rPr>
          <w:rFonts w:ascii="Times New Roman" w:eastAsia="仿宋" w:hAnsi="Times New Roman" w:cs="Times New Roman"/>
          <w:sz w:val="24"/>
          <w:szCs w:val="24"/>
        </w:rPr>
        <w:t>188</w:t>
      </w:r>
      <w:r>
        <w:rPr>
          <w:rFonts w:ascii="Times New Roman" w:eastAsia="仿宋" w:hAnsi="Times New Roman" w:cs="Times New Roman"/>
          <w:sz w:val="24"/>
          <w:szCs w:val="24"/>
        </w:rPr>
        <w:t>公里，沿线近年已发生多起危化品运输事故（涉及柴油、液化气等），其东南段太和桥区域人口密集、基础设施集中，属于高风险节点。如何在严格时间约束下实现应急物资配送与人员疏散的协同优化，是亟待解决的关键科学问题。</w:t>
      </w:r>
    </w:p>
    <w:p w14:paraId="2C2AEC43" w14:textId="77777777" w:rsidR="000465F0" w:rsidRPr="00CE3F53" w:rsidRDefault="00CE3F53" w:rsidP="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在应急物流领域，</w:t>
      </w:r>
      <w:r>
        <w:rPr>
          <w:rFonts w:ascii="Times New Roman" w:eastAsia="仿宋" w:hAnsi="Times New Roman" w:cs="Times New Roman"/>
          <w:sz w:val="24"/>
          <w:szCs w:val="24"/>
        </w:rPr>
        <w:t>Özdamar</w:t>
      </w:r>
      <w:r>
        <w:rPr>
          <w:rFonts w:ascii="Times New Roman" w:eastAsia="仿宋" w:hAnsi="Times New Roman" w:cs="Times New Roman"/>
          <w:sz w:val="24"/>
          <w:szCs w:val="24"/>
        </w:rPr>
        <w:t>和</w:t>
      </w:r>
      <w:r>
        <w:rPr>
          <w:rFonts w:ascii="Times New Roman" w:eastAsia="仿宋" w:hAnsi="Times New Roman" w:cs="Times New Roman"/>
          <w:sz w:val="24"/>
          <w:szCs w:val="24"/>
        </w:rPr>
        <w:t>Ertem</w:t>
      </w:r>
      <w:bookmarkStart w:id="2" w:name="OLE_LINK83"/>
      <w:bookmarkStart w:id="3" w:name="OLE_LINK84"/>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&lt;EndNote&gt;&lt;Cite&gt;&lt;Author&gt;Özdamar&lt;/Author&gt;&lt;Year&gt;2015&lt;/Year&gt;&lt;RecNum&gt;184&lt;/RecNum&gt;&lt;DisplayText&gt;&lt;style face="superscript"&gt;[2]&lt;/style&gt;&lt;/DisplayText&gt;&lt;record&gt;&lt;rec-number&gt;184&lt;/rec-number&gt;&lt;foreign-keys&gt;&lt;key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[2]</w:t>
      </w:r>
      <w:r>
        <w:rPr>
          <w:rFonts w:ascii="Times New Roman" w:eastAsia="仿宋" w:hAnsi="Times New Roman" w:cs="Times New Roman"/>
          <w:sz w:val="24"/>
          <w:szCs w:val="24"/>
        </w:rPr>
        <w:fldChar w:fldCharType="end"/>
      </w:r>
      <w:bookmarkEnd w:id="2"/>
      <w:bookmarkEnd w:id="3"/>
      <w:r>
        <w:rPr>
          <w:rFonts w:ascii="Times New Roman" w:eastAsia="仿宋" w:hAnsi="Times New Roman" w:cs="Times New Roman"/>
          <w:sz w:val="24"/>
          <w:szCs w:val="24"/>
        </w:rPr>
        <w:t>系统综述了人道主义物流模型与求解技术，</w:t>
      </w:r>
      <w:r>
        <w:rPr>
          <w:rFonts w:ascii="Times New Roman" w:eastAsia="仿宋" w:hAnsi="Times New Roman" w:cs="Times New Roman"/>
          <w:sz w:val="24"/>
          <w:szCs w:val="24"/>
        </w:rPr>
        <w:t>Farahani</w:t>
      </w:r>
      <w:r>
        <w:rPr>
          <w:rFonts w:ascii="Times New Roman" w:eastAsia="仿宋" w:hAnsi="Times New Roman" w:cs="Times New Roman"/>
          <w:sz w:val="24"/>
          <w:szCs w:val="24"/>
        </w:rPr>
        <w:t>等</w:t>
      </w:r>
      <w:bookmarkStart w:id="4" w:name="OLE_LINK87"/>
      <w:bookmarkStart w:id="5" w:name="OLE_LINK88"/>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w:t>
      </w:r>
      <w:r>
        <w:rPr>
          <w:rFonts w:ascii="Times New Roman" w:eastAsia="仿宋" w:hAnsi="Times New Roman" w:cs="Times New Roman"/>
          <w:sz w:val="24"/>
          <w:szCs w:val="24"/>
        </w:rPr>
        <w:fldChar w:fldCharType="end"/>
      </w:r>
      <w:bookmarkEnd w:id="4"/>
      <w:bookmarkEnd w:id="5"/>
      <w:r>
        <w:rPr>
          <w:rFonts w:ascii="Times New Roman" w:eastAsia="仿宋" w:hAnsi="Times New Roman" w:cs="Times New Roman"/>
          <w:sz w:val="24"/>
          <w:szCs w:val="24"/>
        </w:rPr>
        <w:t xml:space="preserve"> </w:t>
      </w:r>
      <w:r>
        <w:rPr>
          <w:rFonts w:ascii="Times New Roman" w:eastAsia="仿宋" w:hAnsi="Times New Roman" w:cs="Times New Roman"/>
          <w:sz w:val="24"/>
          <w:szCs w:val="24"/>
        </w:rPr>
        <w:t>进一步总结了灾害响应网络设计的最新进展；</w:t>
      </w:r>
      <w:r>
        <w:rPr>
          <w:rFonts w:ascii="Times New Roman" w:eastAsia="仿宋" w:hAnsi="Times New Roman" w:cs="Times New Roman"/>
          <w:sz w:val="24"/>
          <w:szCs w:val="24"/>
        </w:rPr>
        <w:t>Ke</w:t>
      </w:r>
      <w:bookmarkStart w:id="6" w:name="OLE_LINK85"/>
      <w:bookmarkStart w:id="7" w:name="OLE_LINK86"/>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&lt;EndNote&gt;&lt;Cite&gt;&lt;Author&gt;Ke&lt;/Author&gt;&lt;Year&gt;2022&lt;/Year&gt;&lt;RecNum&gt;196&lt;/RecNum&gt;&lt;DisplayText&gt;&lt;style face="superscript"&gt;[3]&lt;/style&gt;&lt;/DisplayText&gt;&lt;record&gt;&lt;rec-number&gt;196&lt;/rec-number&gt;&lt;foreign-keys&gt;&lt;key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[3]</w:t>
      </w:r>
      <w:r>
        <w:rPr>
          <w:rFonts w:ascii="Times New Roman" w:eastAsia="仿宋" w:hAnsi="Times New Roman" w:cs="Times New Roman"/>
          <w:sz w:val="24"/>
          <w:szCs w:val="24"/>
        </w:rPr>
        <w:fldChar w:fldCharType="end"/>
      </w:r>
      <w:bookmarkEnd w:id="6"/>
      <w:bookmarkEnd w:id="7"/>
      <w:r>
        <w:rPr>
          <w:rFonts w:ascii="Times New Roman" w:eastAsia="仿宋" w:hAnsi="Times New Roman" w:cs="Times New Roman"/>
          <w:sz w:val="24"/>
          <w:szCs w:val="24"/>
        </w:rPr>
        <w:t>针对危险品应急物流提出了考虑需求不确定性和链路中断的两阶段鲁棒优化方法。在配送模式创新方面，</w:t>
      </w:r>
      <w:r>
        <w:rPr>
          <w:rFonts w:ascii="Times New Roman" w:eastAsia="仿宋" w:hAnsi="Times New Roman" w:cs="Times New Roman"/>
          <w:sz w:val="24"/>
          <w:szCs w:val="24"/>
        </w:rPr>
        <w:t>Murray</w:t>
      </w:r>
      <w:r>
        <w:rPr>
          <w:rFonts w:ascii="Times New Roman" w:eastAsia="仿宋" w:hAnsi="Times New Roman" w:cs="Times New Roman"/>
          <w:sz w:val="24"/>
          <w:szCs w:val="24"/>
        </w:rPr>
        <w:t>和</w:t>
      </w:r>
      <w:r>
        <w:rPr>
          <w:rFonts w:ascii="Times New Roman" w:eastAsia="仿宋" w:hAnsi="Times New Roman" w:cs="Times New Roman"/>
          <w:sz w:val="24"/>
          <w:szCs w:val="24"/>
        </w:rPr>
        <w:t>Chu</w:t>
      </w:r>
      <w:bookmarkStart w:id="8" w:name="OLE_LINK89"/>
      <w:bookmarkStart w:id="9" w:name="OLE_LINK90"/>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&lt;EndNote&gt;&lt;Cite&gt;&lt;Author&gt;Murray&lt;/Author&gt;&lt;Year&gt;2015&lt;/Year&gt;&lt;RecNum&gt;187&lt;/RecNum&gt;&lt;DisplayText&gt;&lt;style face="superscript"&gt;[4]&lt;/style&gt;&lt;/DisplayText&gt;&lt;record&gt;&lt;rec-number&gt;187&lt;/rec-number&gt;&lt;foreign-keys&gt;&lt;key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[4]</w:t>
      </w:r>
      <w:r>
        <w:rPr>
          <w:rFonts w:ascii="Times New Roman" w:eastAsia="仿宋" w:hAnsi="Times New Roman" w:cs="Times New Roman"/>
          <w:sz w:val="24"/>
          <w:szCs w:val="24"/>
        </w:rPr>
        <w:fldChar w:fldCharType="end"/>
      </w:r>
      <w:bookmarkEnd w:id="8"/>
      <w:bookmarkEnd w:id="9"/>
      <w:r>
        <w:rPr>
          <w:rFonts w:ascii="Times New Roman" w:eastAsia="仿宋" w:hAnsi="Times New Roman" w:cs="Times New Roman"/>
          <w:sz w:val="24"/>
          <w:szCs w:val="24"/>
        </w:rPr>
        <w:t>提出的飞行伴侣旅行商问题为货车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无人机协同奠定了理论基础，</w:t>
      </w:r>
      <w:r>
        <w:rPr>
          <w:rFonts w:ascii="Times New Roman" w:eastAsia="仿宋" w:hAnsi="Times New Roman" w:cs="Times New Roman"/>
          <w:sz w:val="24"/>
          <w:szCs w:val="24"/>
        </w:rPr>
        <w:t>Agatz</w:t>
      </w:r>
      <w:r>
        <w:rPr>
          <w:rFonts w:ascii="Times New Roman" w:eastAsia="仿宋" w:hAnsi="Times New Roman" w:cs="Times New Roman"/>
          <w:sz w:val="24"/>
          <w:szCs w:val="24"/>
        </w:rPr>
        <w:t>等</w:t>
      </w:r>
      <w:bookmarkStart w:id="10" w:name="OLE_LINK91"/>
      <w:bookmarkStart w:id="11" w:name="OLE_LINK92"/>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&lt;EndNote&gt;&lt;Cite&gt;&lt;Author&gt;Agatz&lt;/Author&gt;&lt;Year&gt;2018&lt;/Year&gt;&lt;RecNum&gt;185&lt;/RecNum&gt;&lt;DisplayText&gt;&lt;style face="superscript"&gt;[5]&lt;/style&gt;&lt;/DisplayText&gt;&lt;record&gt;&lt;rec-number&gt;185&lt;/rec-number&gt;&lt;foreign-keys&gt;&lt;key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[5]</w:t>
      </w:r>
      <w:r>
        <w:rPr>
          <w:rFonts w:ascii="Times New Roman" w:eastAsia="仿宋" w:hAnsi="Times New Roman" w:cs="Times New Roman"/>
          <w:sz w:val="24"/>
          <w:szCs w:val="24"/>
        </w:rPr>
        <w:fldChar w:fldCharType="end"/>
      </w:r>
      <w:bookmarkEnd w:id="10"/>
      <w:bookmarkEnd w:id="11"/>
      <w:r>
        <w:rPr>
          <w:rFonts w:ascii="Times New Roman" w:eastAsia="仿宋" w:hAnsi="Times New Roman" w:cs="Times New Roman"/>
          <w:sz w:val="24"/>
          <w:szCs w:val="24"/>
        </w:rPr>
        <w:t>发展了精确算法和启发式求解方法；</w:t>
      </w:r>
      <w:r>
        <w:rPr>
          <w:rFonts w:ascii="Times New Roman" w:eastAsia="仿宋" w:hAnsi="Times New Roman" w:cs="Times New Roman"/>
          <w:sz w:val="24"/>
          <w:szCs w:val="24"/>
        </w:rPr>
        <w:t>Chung</w:t>
      </w:r>
      <w:r>
        <w:rPr>
          <w:rFonts w:ascii="Times New Roman" w:eastAsia="仿宋" w:hAnsi="Times New Roman" w:cs="Times New Roman"/>
          <w:sz w:val="24"/>
          <w:szCs w:val="24"/>
        </w:rPr>
        <w:t>等</w:t>
      </w:r>
      <w:bookmarkStart w:id="12" w:name="OLE_LINK93"/>
      <w:bookmarkStart w:id="13" w:name="OLE_LINK94"/>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&lt;EndNote&gt;&lt;Cite&gt;&lt;Author&gt;Chung&lt;/Author&gt;&lt;Year&gt;2020&lt;/Year&gt;&lt;RecNum&gt;197&lt;/RecNum&gt;&lt;DisplayText&gt;&lt;style face="superscript"&gt;[6]&lt;/style&gt;&lt;/DisplayText&gt;&lt;record&gt;&lt;rec-number&gt;197&lt;/rec-number&gt;&lt;foreign-keys&gt;&lt;key app="EN" db-id="vvvrwwxsb0xrwnev9envf0rhd99dz0f9azad" timestamp="1775216563"&gt;197&lt;/key&gt;&lt;/foreign-keys&gt;&lt;ref-type name="Journal Article"&gt;17&lt;/ref-type&gt;&lt;contributors&gt;&lt;authors&gt;&lt;author&gt;Chung, Sung Hoon&lt;/author&gt;&lt;author&gt;Sah, Bhawesh&lt;/author&gt;&lt;author&gt;Lee, Jinkun&lt;/author&gt;&lt;/authors&gt;&lt;/contributors&gt;&lt;titles&gt;&lt;title&gt;Optimization for drone and drone-truck combined operations: A review of the state of the art and future directions&lt;/title&gt;&lt;secondary-title&gt;Computers &amp;amp; Operations Research&lt;/secondary-title&gt;&lt;/titles&gt;&lt;periodical&gt;&lt;full-title&gt;Computers &amp;amp; Operations Research&lt;/full-title&gt;&lt;/periodical&gt;&lt;pages&gt;105004&lt;/pages&gt;&lt;volume&gt;123&lt;/volume&gt;&lt;keywords&gt;&lt;keyword&gt;Drone&lt;/keyword&gt;&lt;keyword&gt;Drone-truck combined operations&lt;/keyword&gt;&lt;keyword&gt;Survey article&lt;/keyword&gt;&lt;keyword&gt;Unmanned aerial vehicle&lt;/keyword&gt;&lt;keyword&gt;Transportation planning&lt;/keyword&gt;&lt;keyword&gt;Optimization&lt;/keyword&gt;&lt;/keywords&gt;&lt;dates&gt;&lt;year&gt;2020&lt;/year&gt;&lt;pub-dates&gt;&lt;date&gt;2020/11/01/&lt;/date&gt;&lt;/pub-dates&gt;&lt;/dates&gt;&lt;isbn&gt;0305-0548&lt;/isbn&gt;&lt;urls&gt;&lt;related-urls&gt;&lt;url&gt;https://www.sciencedirect.com/science/article/pii/S0305054820301210&lt;/url&gt;&lt;/related-urls&gt;&lt;/urls&gt;&lt;electronic-resource-num&gt;https://doi.org/10.1016/j.cor.2020.105004&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[6]</w:t>
      </w:r>
      <w:r>
        <w:rPr>
          <w:rFonts w:ascii="Times New Roman" w:eastAsia="仿宋" w:hAnsi="Times New Roman" w:cs="Times New Roman"/>
          <w:sz w:val="24"/>
          <w:szCs w:val="24"/>
        </w:rPr>
        <w:fldChar w:fldCharType="end"/>
      </w:r>
      <w:bookmarkEnd w:id="12"/>
      <w:bookmarkEnd w:id="13"/>
      <w:r>
        <w:rPr>
          <w:rFonts w:ascii="Times New Roman" w:eastAsia="仿宋" w:hAnsi="Times New Roman" w:cs="Times New Roman"/>
          <w:sz w:val="24"/>
          <w:szCs w:val="24"/>
        </w:rPr>
        <w:t>和</w:t>
      </w:r>
      <w:r>
        <w:rPr>
          <w:rFonts w:ascii="Times New Roman" w:eastAsia="仿宋" w:hAnsi="Times New Roman" w:cs="Times New Roman"/>
          <w:sz w:val="24"/>
          <w:szCs w:val="24"/>
        </w:rPr>
        <w:t>Li</w:t>
      </w:r>
      <w:r>
        <w:rPr>
          <w:rFonts w:ascii="Times New Roman" w:eastAsia="仿宋" w:hAnsi="Times New Roman" w:cs="Times New Roman"/>
          <w:sz w:val="24"/>
          <w:szCs w:val="24"/>
        </w:rPr>
        <w:t>等</w:t>
      </w:r>
      <w:bookmarkStart w:id="14" w:name="OLE_LINK95"/>
      <w:bookmarkStart w:id="15" w:name="OLE_LINK96"/>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&lt;EndNote&gt;&lt;Cite&gt;&lt;Author&gt;Li&lt;/Author&gt;&lt;Year&gt;2021&lt;/Year&gt;&lt;RecNum&gt;198&lt;/RecNum&gt;&lt;DisplayText&gt;&lt;style face="superscript"&gt;[7]&lt;/style&gt;&lt;/DisplayText&gt;&lt;record&gt;&lt;rec-number&gt;198&lt;/rec-number&gt;&lt;foreign-keys&gt;&lt;key app="EN" db-id="vvvrwwxsb0xrwnev9envf0rhd99dz0f9azad" timestamp="1775216604"&gt;198&lt;/key&gt;&lt;/foreign-keys&gt;&lt;ref-type name="Journal Article"&gt;17&lt;/ref-type&gt;&lt;contributors&gt;&lt;authors&gt;&lt;author&gt;Li, Hongqi&lt;/author&gt;&lt;author&gt;Chen, Jun&lt;/author&gt;&lt;author&gt;Wang, Feilong&lt;/author&gt;&lt;author&gt;Bai, Ming&lt;/author&gt;&lt;/authors&gt;&lt;/contributors&gt;&lt;titles&gt;&lt;title&gt;Ground-vehicle and unmanned-aerial-vehicle routing problems from two-echelon scheme perspective: A review&lt;/title&gt;&lt;secondary-title&gt;European Journal of Operational Research&lt;/secondary-title&gt;&lt;/titles&gt;&lt;periodical&gt;&lt;full-title&gt;European Journal of Operational Research&lt;/full-title&gt;&lt;/periodical&gt;&lt;pages&gt;1078-1095&lt;/pages&gt;&lt;volume&gt;294&lt;/volume&gt;&lt;number&gt;3&lt;/number&gt;&lt;keywords&gt;&lt;keyword&gt;Routing&lt;/keyword&gt;&lt;keyword&gt;Ground-vehicle and unmanned-aerial-vehicle&lt;/keyword&gt;&lt;keyword&gt;Two-echelon&lt;/keyword&gt;&lt;keyword&gt;Mobile satellite&lt;/keyword&gt;&lt;keyword&gt;Survey&lt;/keyword&gt;&lt;/keywords&gt;&lt;dates&gt;&lt;year&gt;2021&lt;/year&gt;&lt;pub-dates&gt;&lt;date&gt;2021/11/01/&lt;/date&gt;&lt;/pub-dates&gt;&lt;/dates&gt;&lt;isbn&gt;0377-2217&lt;/isbn&gt;&lt;urls&gt;&lt;related-urls&gt;&lt;url&gt;https://www.sciencedirect.com/science/article/pii/S0377221721001156&lt;/url&gt;&lt;/related-urls&gt;&lt;/urls&gt;&lt;electronic-resource-num&gt;https://doi.org/10.1016/j.ejor.2021.02.022&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[7]</w:t>
      </w:r>
      <w:r>
        <w:rPr>
          <w:rFonts w:ascii="Times New Roman" w:eastAsia="仿宋" w:hAnsi="Times New Roman" w:cs="Times New Roman"/>
          <w:sz w:val="24"/>
          <w:szCs w:val="24"/>
        </w:rPr>
        <w:fldChar w:fldCharType="end"/>
      </w:r>
      <w:bookmarkEnd w:id="14"/>
      <w:bookmarkEnd w:id="15"/>
      <w:r>
        <w:rPr>
          <w:rFonts w:ascii="Times New Roman" w:eastAsia="仿宋" w:hAnsi="Times New Roman" w:cs="Times New Roman"/>
          <w:sz w:val="24"/>
          <w:szCs w:val="24"/>
        </w:rPr>
        <w:t>分别对无人机协同配送问题进行了系统综述，指出该模式在路网受损的应急场景中具有独特优势；</w:t>
      </w:r>
      <w:r>
        <w:rPr>
          <w:rFonts w:ascii="Times New Roman" w:eastAsia="仿宋" w:hAnsi="Times New Roman" w:cs="Times New Roman"/>
          <w:sz w:val="24"/>
          <w:szCs w:val="24"/>
        </w:rPr>
        <w:t>Zhang</w:t>
      </w:r>
      <w:r>
        <w:rPr>
          <w:rFonts w:ascii="Times New Roman" w:eastAsia="仿宋" w:hAnsi="Times New Roman" w:cs="Times New Roman"/>
          <w:sz w:val="24"/>
          <w:szCs w:val="24"/>
        </w:rPr>
        <w:t>等</w:t>
      </w:r>
      <w:bookmarkStart w:id="16" w:name="OLE_LINK97"/>
      <w:bookmarkStart w:id="17" w:name="OLE_LINK98"/>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&lt;EndNote&gt;&lt;Cite&gt;&lt;Author&gt;Zhang&lt;/Author&gt;&lt;Year&gt;2023&lt;/Year&gt;&lt;RecNum&gt;199&lt;/RecNum&gt;&lt;DisplayText&gt;&lt;style face="superscript"&gt;[8]&lt;/style&gt;&lt;/DisplayText&gt;&lt;record&gt;&lt;rec-number&gt;199&lt;/rec-number&gt;&lt;foreign-keys&gt;&lt;key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[8]</w:t>
      </w:r>
      <w:r>
        <w:rPr>
          <w:rFonts w:ascii="Times New Roman" w:eastAsia="仿宋" w:hAnsi="Times New Roman" w:cs="Times New Roman"/>
          <w:sz w:val="24"/>
          <w:szCs w:val="24"/>
        </w:rPr>
        <w:fldChar w:fldCharType="end"/>
      </w:r>
      <w:bookmarkEnd w:id="16"/>
      <w:bookmarkEnd w:id="17"/>
      <w:r>
        <w:rPr>
          <w:rFonts w:ascii="Times New Roman" w:eastAsia="仿宋" w:hAnsi="Times New Roman" w:cs="Times New Roman"/>
          <w:sz w:val="24"/>
          <w:szCs w:val="24"/>
        </w:rPr>
        <w:t>进一步将优先级机制引入灾害救援中的货车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无人机同步配送，为差异化时间窗约束下的应急物资调配提供了建模参考。在人员疏散方面，</w:t>
      </w:r>
      <w:r>
        <w:rPr>
          <w:rFonts w:ascii="Times New Roman" w:eastAsia="仿宋" w:hAnsi="Times New Roman" w:cs="Times New Roman"/>
          <w:sz w:val="24"/>
          <w:szCs w:val="24"/>
        </w:rPr>
        <w:t>Hamacher</w:t>
      </w:r>
      <w:r>
        <w:rPr>
          <w:rFonts w:ascii="Times New Roman" w:eastAsia="仿宋" w:hAnsi="Times New Roman" w:cs="Times New Roman"/>
          <w:sz w:val="24"/>
          <w:szCs w:val="24"/>
        </w:rPr>
        <w:t>和</w:t>
      </w:r>
      <w:r>
        <w:rPr>
          <w:rFonts w:ascii="Times New Roman" w:eastAsia="仿宋" w:hAnsi="Times New Roman" w:cs="Times New Roman"/>
          <w:sz w:val="24"/>
          <w:szCs w:val="24"/>
        </w:rPr>
        <w:t>Tjandra</w:t>
      </w:r>
      <w:bookmarkStart w:id="18" w:name="OLE_LINK99"/>
      <w:bookmarkStart w:id="19" w:name="OLE_LINK100"/>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&lt;EndNote&gt;&lt;Cite&gt;&lt;Author&gt;Hamacher&lt;/Author&gt;&lt;Year&gt;2002&lt;/Year&gt;&lt;RecNum&gt;188&lt;/RecNum&gt;&lt;DisplayText&gt;&lt;style face="superscript"&gt;[9]&lt;/style&gt;&lt;/DisplayText&gt;&lt;record&gt;&lt;rec-number&gt;188&lt;/rec-number&gt;&lt;foreign-keys&gt;&lt;key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[9]</w:t>
      </w:r>
      <w:r>
        <w:rPr>
          <w:rFonts w:ascii="Times New Roman" w:eastAsia="仿宋" w:hAnsi="Times New Roman" w:cs="Times New Roman"/>
          <w:sz w:val="24"/>
          <w:szCs w:val="24"/>
        </w:rPr>
        <w:fldChar w:fldCharType="end"/>
      </w:r>
      <w:bookmarkEnd w:id="18"/>
      <w:bookmarkEnd w:id="19"/>
      <w:r>
        <w:rPr>
          <w:rFonts w:ascii="Times New Roman" w:eastAsia="仿宋" w:hAnsi="Times New Roman" w:cs="Times New Roman"/>
          <w:sz w:val="24"/>
          <w:szCs w:val="24"/>
        </w:rPr>
        <w:t>将疏散问题形式化为网络流模型，</w:t>
      </w:r>
      <w:r>
        <w:rPr>
          <w:rFonts w:ascii="Times New Roman" w:eastAsia="仿宋" w:hAnsi="Times New Roman" w:cs="Times New Roman"/>
          <w:sz w:val="24"/>
          <w:szCs w:val="24"/>
        </w:rPr>
        <w:t>Abdelgawad</w:t>
      </w:r>
      <w:r>
        <w:rPr>
          <w:rFonts w:ascii="Times New Roman" w:eastAsia="仿宋" w:hAnsi="Times New Roman" w:cs="Times New Roman"/>
          <w:sz w:val="24"/>
          <w:szCs w:val="24"/>
        </w:rPr>
        <w:t>和</w:t>
      </w:r>
      <w:r>
        <w:rPr>
          <w:rFonts w:ascii="Times New Roman" w:eastAsia="仿宋" w:hAnsi="Times New Roman" w:cs="Times New Roman"/>
          <w:sz w:val="24"/>
          <w:szCs w:val="24"/>
        </w:rPr>
        <w:t>Abdulhai</w:t>
      </w:r>
      <w:bookmarkStart w:id="20" w:name="OLE_LINK101"/>
      <w:bookmarkStart w:id="21" w:name="OLE_LINK102"/>
      <w:bookmarkStart w:id="22" w:name="OLE_LINK127"/>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&lt;EndNote&gt;&lt;Cite&gt;&lt;Author&gt;Abdelgawad&lt;/Author&gt;&lt;Year&gt;2010&lt;/Year&gt;&lt;RecNum&gt;200&lt;/RecNum&gt;&lt;DisplayText&gt;&lt;style face="superscript"&gt;[10]&lt;/style&gt;&lt;/DisplayText&gt;&lt;record&gt;&lt;rec-number&gt;200&lt;/rec-number&gt;&lt;foreign-keys&gt;&lt;key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[10]</w:t>
      </w:r>
      <w:r>
        <w:rPr>
          <w:rFonts w:ascii="Times New Roman" w:eastAsia="仿宋" w:hAnsi="Times New Roman" w:cs="Times New Roman"/>
          <w:sz w:val="24"/>
          <w:szCs w:val="24"/>
        </w:rPr>
        <w:fldChar w:fldCharType="end"/>
      </w:r>
      <w:bookmarkEnd w:id="20"/>
      <w:bookmarkEnd w:id="21"/>
      <w:bookmarkEnd w:id="22"/>
      <w:r>
        <w:rPr>
          <w:rFonts w:ascii="Times New Roman" w:eastAsia="仿宋" w:hAnsi="Times New Roman" w:cs="Times New Roman"/>
          <w:sz w:val="24"/>
          <w:szCs w:val="24"/>
        </w:rPr>
        <w:t>提出了公共交通与私家车协同的多模式疏散框架，</w:t>
      </w:r>
      <w:r>
        <w:rPr>
          <w:rFonts w:ascii="Times New Roman" w:eastAsia="仿宋" w:hAnsi="Times New Roman" w:cs="Times New Roman"/>
          <w:sz w:val="24"/>
          <w:szCs w:val="24"/>
        </w:rPr>
        <w:t>Yoon</w:t>
      </w:r>
      <w:r>
        <w:rPr>
          <w:rFonts w:ascii="Times New Roman" w:eastAsia="仿宋" w:hAnsi="Times New Roman" w:cs="Times New Roman"/>
          <w:sz w:val="24"/>
          <w:szCs w:val="24"/>
        </w:rPr>
        <w:t>和</w:t>
      </w:r>
      <w:r>
        <w:rPr>
          <w:rFonts w:ascii="Times New Roman" w:eastAsia="仿宋" w:hAnsi="Times New Roman" w:cs="Times New Roman"/>
          <w:sz w:val="24"/>
          <w:szCs w:val="24"/>
        </w:rPr>
        <w:t>Albert</w:t>
      </w:r>
      <w:bookmarkStart w:id="23" w:name="OLE_LINK103"/>
      <w:bookmarkStart w:id="24" w:name="OLE_LINK104"/>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&lt;EndNote&gt;&lt;Cite&gt;&lt;Author&gt;Yoon&lt;/Author&gt;&lt;Year&gt;2021&lt;/Year&gt;&lt;RecNum&gt;201&lt;/RecNum&gt;&lt;DisplayText&gt;&lt;style face="superscript"&gt;[11]&lt;/style&gt;&lt;/DisplayText&gt;&lt;record&gt;&lt;rec-number&gt;201&lt;/rec-number&gt;&lt;foreign-keys&gt;&lt;key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[11]</w:t>
      </w:r>
      <w:r>
        <w:rPr>
          <w:rFonts w:ascii="Times New Roman" w:eastAsia="仿宋" w:hAnsi="Times New Roman" w:cs="Times New Roman"/>
          <w:sz w:val="24"/>
          <w:szCs w:val="24"/>
        </w:rPr>
        <w:fldChar w:fldCharType="end"/>
      </w:r>
      <w:bookmarkEnd w:id="23"/>
      <w:bookmarkEnd w:id="24"/>
      <w:r>
        <w:rPr>
          <w:rFonts w:ascii="Times New Roman" w:eastAsia="仿宋" w:hAnsi="Times New Roman" w:cs="Times New Roman"/>
          <w:sz w:val="24"/>
          <w:szCs w:val="24"/>
        </w:rPr>
        <w:t>建立了多类型车辆的动态应急调度策略。国内学者也做了相关探索：雷斌等</w:t>
      </w:r>
      <w:bookmarkStart w:id="25" w:name="OLE_LINK105"/>
      <w:bookmarkStart w:id="26" w:name="OLE_LINK106"/>
      <w:r>
        <w:rPr>
          <w:rFonts w:ascii="Times New Roman" w:eastAsia="仿宋" w:hAnsi="Times New Roman" w:cs="Times New Roman"/>
          <w:sz w:val="24"/>
          <w:szCs w:val="24"/>
        </w:rPr>
        <w:fldChar w:fldCharType="begin"/>
      </w:r>
      <w:r>
        <w:rPr>
          <w:rFonts w:ascii="Times New Roman" w:eastAsia="仿宋" w:hAnsi="Times New Roman" w:cs="Times New Roman" w:hint="eastAsia"/>
          <w:sz w:val="24"/>
          <w:szCs w:val="24"/>
        </w:rPr>
        <w:instrText xml:space="preserve"> ADDIN EN.CITE &lt;EndNote&gt;&lt;Cite&gt;&lt;Author&gt;</w:instrText>
      </w:r>
      <w:r>
        <w:rPr>
          <w:rFonts w:ascii="Times New Roman" w:eastAsia="仿宋" w:hAnsi="Times New Roman" w:cs="Times New Roman" w:hint="eastAsia"/>
          <w:sz w:val="24"/>
          <w:szCs w:val="24"/>
        </w:rPr>
        <w:instrText>雷斌</w:instrText>
      </w:r>
      <w:r>
        <w:rPr>
          <w:rFonts w:ascii="Times New Roman" w:eastAsia="仿宋" w:hAnsi="Times New Roman" w:cs="Times New Roman" w:hint="eastAsia"/>
          <w:sz w:val="24"/>
          <w:szCs w:val="24"/>
        </w:rPr>
        <w:instrText>&lt;/Author&gt;&lt;Year&gt;2023&lt;/Year&gt;&lt;RecNum&gt;189&lt;/RecNum&gt;&lt;DisplayText&gt;&lt;style face="superscript"&gt;[12]&lt;/style&gt;&lt;/DisplayText&gt;&lt;record&gt;&lt;rec-number&gt;189&lt;/rec-number&gt;&lt;foreign-keys&gt;&lt;key app="EN" db-id="vvvrwwxsb0xrwnev9envf0rhd99dz0f9azad" timestamp="1775117335"&gt;189&lt;/key&gt;&lt;/foreign-keys&gt;&lt;ref-type name="Journal Article"&gt;17&lt;/ref-type&gt;&lt;contributors&gt;&lt;authors&gt;&lt;author&gt;</w:instrText>
      </w:r>
      <w:r>
        <w:rPr>
          <w:rFonts w:ascii="Times New Roman" w:eastAsia="仿宋" w:hAnsi="Times New Roman" w:cs="Times New Roman" w:hint="eastAsia"/>
          <w:sz w:val="24"/>
          <w:szCs w:val="24"/>
        </w:rPr>
        <w:instrText>雷斌</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寻天祥</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郝亚睿</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卢剑鸿</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刘可心</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罗林林</w:instrText>
      </w:r>
      <w:r>
        <w:rPr>
          <w:rFonts w:ascii="Times New Roman" w:eastAsia="仿宋" w:hAnsi="Times New Roman" w:cs="Times New Roman" w:hint="eastAsia"/>
          <w:sz w:val="24"/>
          <w:szCs w:val="24"/>
        </w:rPr>
        <w:instrText>&lt;/author&gt;&lt;/authors&gt;&lt;/contributors&gt;&lt;auth-address&gt;</w:instrText>
      </w:r>
      <w:r>
        <w:rPr>
          <w:rFonts w:ascii="Times New Roman" w:eastAsia="仿宋" w:hAnsi="Times New Roman" w:cs="Times New Roman" w:hint="eastAsia"/>
          <w:sz w:val="24"/>
          <w:szCs w:val="24"/>
        </w:rPr>
        <w:instrText>西安建筑科技大学土木工程学院</w:instrText>
      </w:r>
      <w:r>
        <w:rPr>
          <w:rFonts w:ascii="Times New Roman" w:eastAsia="仿宋" w:hAnsi="Times New Roman" w:cs="Times New Roman" w:hint="eastAsia"/>
          <w:sz w:val="24"/>
          <w:szCs w:val="24"/>
        </w:rPr>
        <w:instrText>;</w:instrText>
      </w:r>
      <w:r>
        <w:rPr>
          <w:rFonts w:ascii="Times New Roman" w:eastAsia="仿宋" w:hAnsi="Times New Roman" w:cs="Times New Roman" w:hint="eastAsia"/>
          <w:sz w:val="24"/>
          <w:szCs w:val="24"/>
        </w:rPr>
        <w:instrText>山西铁道职业技术学院</w:instrText>
      </w:r>
      <w:r>
        <w:rPr>
          <w:rFonts w:ascii="Times New Roman" w:eastAsia="仿宋" w:hAnsi="Times New Roman" w:cs="Times New Roman" w:hint="eastAsia"/>
          <w:sz w:val="24"/>
          <w:szCs w:val="24"/>
        </w:rPr>
        <w:instrText>;</w:instrText>
      </w:r>
      <w:r>
        <w:rPr>
          <w:rFonts w:ascii="Times New Roman" w:eastAsia="仿宋" w:hAnsi="Times New Roman" w:cs="Times New Roman" w:hint="eastAsia"/>
          <w:sz w:val="24"/>
          <w:szCs w:val="24"/>
        </w:rPr>
        <w:instrText>西安市轨道交通集团有限公司</w:instrText>
      </w:r>
      <w:r>
        <w:rPr>
          <w:rFonts w:ascii="Times New Roman" w:eastAsia="仿宋" w:hAnsi="Times New Roman" w:cs="Times New Roman" w:hint="eastAsia"/>
          <w:sz w:val="24"/>
          <w:szCs w:val="24"/>
        </w:rPr>
        <w:instrText>;&lt;/auth-address&gt;&lt;titles&gt;&lt;title&gt;</w:instrText>
      </w:r>
      <w:r>
        <w:rPr>
          <w:rFonts w:ascii="Times New Roman" w:eastAsia="仿宋" w:hAnsi="Times New Roman" w:cs="Times New Roman" w:hint="eastAsia"/>
          <w:sz w:val="24"/>
          <w:szCs w:val="24"/>
        </w:rPr>
        <w:instrText>城市轨道交通突发事件下换乘站应急疏散路径优化研究</w:instrText>
      </w:r>
      <w:r>
        <w:rPr>
          <w:rFonts w:ascii="Times New Roman" w:eastAsia="仿宋" w:hAnsi="Times New Roman" w:cs="Times New Roman" w:hint="eastAsia"/>
          <w:sz w:val="24"/>
          <w:szCs w:val="24"/>
        </w:rPr>
        <w:instrText>&lt;/title&gt;&lt;secondary-title&gt;</w:instrText>
      </w:r>
      <w:r>
        <w:rPr>
          <w:rFonts w:ascii="Times New Roman" w:eastAsia="仿宋" w:hAnsi="Times New Roman" w:cs="Times New Roman" w:hint="eastAsia"/>
          <w:sz w:val="24"/>
          <w:szCs w:val="24"/>
        </w:rPr>
        <w:instrText>中国安全生产科学技术</w:instrText>
      </w:r>
      <w:r>
        <w:rPr>
          <w:rFonts w:ascii="Times New Roman" w:eastAsia="仿宋" w:hAnsi="Times New Roman" w:cs="Times New Roman" w:hint="eastAsia"/>
          <w:sz w:val="24"/>
          <w:szCs w:val="24"/>
        </w:rPr>
        <w:instrText>&lt;/secondary-title&gt;&lt;/titles&gt;&lt;periodical&gt;&lt;full-title&gt;</w:instrText>
      </w:r>
      <w:r>
        <w:rPr>
          <w:rFonts w:ascii="Times New Roman" w:eastAsia="仿宋" w:hAnsi="Times New Roman" w:cs="Times New Roman" w:hint="eastAsia"/>
          <w:sz w:val="24"/>
          <w:szCs w:val="24"/>
        </w:rPr>
        <w:instrText>中国安全生产科学技术</w:instrText>
      </w:r>
      <w:r>
        <w:rPr>
          <w:rFonts w:ascii="Times New Roman" w:eastAsia="仿宋" w:hAnsi="Times New Roman" w:cs="Times New Roman" w:hint="eastAsia"/>
          <w:sz w:val="24"/>
          <w:szCs w:val="24"/>
        </w:rPr>
        <w:instrText>&lt;/full-title&gt;&lt;/periodical&gt;&lt;pages&gt;186-193&lt;/pages&gt;&lt;volume&gt;19&lt;/volume&gt;&lt;number&gt;05&lt;/number&gt;&lt;keywords&gt;&lt;keyword&gt;</w:instrText>
      </w:r>
      <w:r>
        <w:rPr>
          <w:rFonts w:ascii="Times New Roman" w:eastAsia="仿宋" w:hAnsi="Times New Roman" w:cs="Times New Roman" w:hint="eastAsia"/>
          <w:sz w:val="24"/>
          <w:szCs w:val="24"/>
        </w:rPr>
        <w:instrText>城市轨道交通</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应急疏散</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引导人员位置</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疏散路径</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仿真模拟</w:instrText>
      </w:r>
      <w:r>
        <w:rPr>
          <w:rFonts w:ascii="Times New Roman" w:eastAsia="仿宋" w:hAnsi="Times New Roman" w:cs="Times New Roman" w:hint="eastAsia"/>
          <w:sz w:val="24"/>
          <w:szCs w:val="24"/>
        </w:rPr>
        <w:instrText>&lt;/keyword&gt;&lt;/keywords&gt;&lt;dates&gt;&lt;year&gt;2023&lt;/year&gt;&lt;/dates&gt;&lt;isbn&gt;1673-193X&lt;/isbn&gt;&lt;call-num&gt;11-533</w:instrText>
      </w:r>
      <w:r>
        <w:rPr>
          <w:rFonts w:ascii="Times New Roman" w:eastAsia="仿宋" w:hAnsi="Times New Roman" w:cs="Times New Roman"/>
          <w:sz w:val="24"/>
          <w:szCs w:val="24"/>
        </w:rPr>
        <w:instrText>5/TB&lt;/call-num&gt;&lt;urls&gt;&lt;/urls&gt;&lt;remote-database-provider&gt;Cnki&lt;/remote-database-provider&gt;&lt;/record&gt;&lt;/Cite&gt;&lt;/EndNote&gt;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[12]</w:t>
      </w:r>
      <w:r>
        <w:rPr>
          <w:rFonts w:ascii="Times New Roman" w:eastAsia="仿宋" w:hAnsi="Times New Roman" w:cs="Times New Roman"/>
          <w:sz w:val="24"/>
          <w:szCs w:val="24"/>
        </w:rPr>
        <w:fldChar w:fldCharType="end"/>
      </w:r>
      <w:bookmarkEnd w:id="25"/>
      <w:bookmarkEnd w:id="26"/>
      <w:r>
        <w:rPr>
          <w:rFonts w:ascii="Times New Roman" w:eastAsia="仿宋" w:hAnsi="Times New Roman" w:cs="Times New Roman"/>
          <w:sz w:val="24"/>
          <w:szCs w:val="24"/>
        </w:rPr>
        <w:t>针对城市轨道交通提出应急疏散优化模型，杨扬等</w:t>
      </w:r>
      <w:bookmarkStart w:id="27" w:name="OLE_LINK107"/>
      <w:bookmarkStart w:id="28" w:name="OLE_LINK108"/>
      <w:r>
        <w:rPr>
          <w:rFonts w:ascii="Times New Roman" w:eastAsia="仿宋" w:hAnsi="Times New Roman" w:cs="Times New Roman"/>
          <w:sz w:val="24"/>
          <w:szCs w:val="24"/>
        </w:rPr>
        <w:fldChar w:fldCharType="begin"/>
      </w:r>
      <w:r>
        <w:rPr>
          <w:rFonts w:ascii="Times New Roman" w:eastAsia="仿宋" w:hAnsi="Times New Roman" w:cs="Times New Roman" w:hint="eastAsia"/>
          <w:sz w:val="24"/>
          <w:szCs w:val="24"/>
        </w:rPr>
        <w:instrText xml:space="preserve"> ADDIN EN.CITE &lt;EndNote&gt;&lt;Cite&gt;&lt;Author&gt;</w:instrText>
      </w:r>
      <w:r>
        <w:rPr>
          <w:rFonts w:ascii="Times New Roman" w:eastAsia="仿宋" w:hAnsi="Times New Roman" w:cs="Times New Roman" w:hint="eastAsia"/>
          <w:sz w:val="24"/>
          <w:szCs w:val="24"/>
        </w:rPr>
        <w:instrText>杨扬</w:instrText>
      </w:r>
      <w:r>
        <w:rPr>
          <w:rFonts w:ascii="Times New Roman" w:eastAsia="仿宋" w:hAnsi="Times New Roman" w:cs="Times New Roman" w:hint="eastAsia"/>
          <w:sz w:val="24"/>
          <w:szCs w:val="24"/>
        </w:rPr>
        <w:instrText>&lt;/Author&gt;&lt;Year&gt;2026&lt;/Year&gt;&lt;RecNum&gt;190&lt;/RecNum&gt;&lt;DisplayText&gt;&lt;style face="superscript"&gt;[13]&lt;/style&gt;&lt;/DisplayText&gt;&lt;record&gt;&lt;rec-number&gt;190&lt;/rec-number&gt;&lt;foreign-keys&gt;&lt;key app="EN" db-id="vvvrwwxsb0xrwnev9envf0rhd99dz0f9azad" timestamp="1775118029"&gt;190&lt;/key&gt;&lt;/foreign-keys&gt;&lt;ref-type name="Journal Article"&gt;17&lt;/ref-type&gt;&lt;contributors&gt;&lt;authors&gt;&lt;author&gt;</w:instrText>
      </w:r>
      <w:r>
        <w:rPr>
          <w:rFonts w:ascii="Times New Roman" w:eastAsia="仿宋" w:hAnsi="Times New Roman" w:cs="Times New Roman" w:hint="eastAsia"/>
          <w:sz w:val="24"/>
          <w:szCs w:val="24"/>
        </w:rPr>
        <w:instrText>杨扬</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陈君婷</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姚恩建</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刘冬梅</w:instrText>
      </w:r>
      <w:r>
        <w:rPr>
          <w:rFonts w:ascii="Times New Roman" w:eastAsia="仿宋" w:hAnsi="Times New Roman" w:cs="Times New Roman" w:hint="eastAsia"/>
          <w:sz w:val="24"/>
          <w:szCs w:val="24"/>
        </w:rPr>
        <w:instrText>&lt;/author&gt;&lt;/authors&gt;&lt;/contributors&gt;&lt;auth-address&gt;</w:instrText>
      </w:r>
      <w:r>
        <w:rPr>
          <w:rFonts w:ascii="Times New Roman" w:eastAsia="仿宋" w:hAnsi="Times New Roman" w:cs="Times New Roman" w:hint="eastAsia"/>
          <w:sz w:val="24"/>
          <w:szCs w:val="24"/>
        </w:rPr>
        <w:instrText>北京交通大学综合交通运输大数据应用技术交通运输行业重点实验室</w:instrText>
      </w:r>
      <w:r>
        <w:rPr>
          <w:rFonts w:ascii="Times New Roman" w:eastAsia="仿宋" w:hAnsi="Times New Roman" w:cs="Times New Roman" w:hint="eastAsia"/>
          <w:sz w:val="24"/>
          <w:szCs w:val="24"/>
        </w:rPr>
        <w:instrText>;</w:instrText>
      </w:r>
      <w:r>
        <w:rPr>
          <w:rFonts w:ascii="Times New Roman" w:eastAsia="仿宋" w:hAnsi="Times New Roman" w:cs="Times New Roman" w:hint="eastAsia"/>
          <w:sz w:val="24"/>
          <w:szCs w:val="24"/>
        </w:rPr>
        <w:instrText>北京交通大学交通运输学院</w:instrText>
      </w:r>
      <w:r>
        <w:rPr>
          <w:rFonts w:ascii="Times New Roman" w:eastAsia="仿宋" w:hAnsi="Times New Roman" w:cs="Times New Roman" w:hint="eastAsia"/>
          <w:sz w:val="24"/>
          <w:szCs w:val="24"/>
        </w:rPr>
        <w:instrText>;</w:instrText>
      </w:r>
      <w:r>
        <w:rPr>
          <w:rFonts w:ascii="Times New Roman" w:eastAsia="仿宋" w:hAnsi="Times New Roman" w:cs="Times New Roman" w:hint="eastAsia"/>
          <w:sz w:val="24"/>
          <w:szCs w:val="24"/>
        </w:rPr>
        <w:instrText>中路高科交通科技集团有限公司</w:instrText>
      </w:r>
      <w:r>
        <w:rPr>
          <w:rFonts w:ascii="Times New Roman" w:eastAsia="仿宋" w:hAnsi="Times New Roman" w:cs="Times New Roman" w:hint="eastAsia"/>
          <w:sz w:val="24"/>
          <w:szCs w:val="24"/>
        </w:rPr>
        <w:instrText>;&lt;/auth-address&gt;&lt;titles&gt;&lt;title&gt;</w:instrText>
      </w:r>
      <w:r>
        <w:rPr>
          <w:rFonts w:ascii="Times New Roman" w:eastAsia="仿宋" w:hAnsi="Times New Roman" w:cs="Times New Roman" w:hint="eastAsia"/>
          <w:sz w:val="24"/>
          <w:szCs w:val="24"/>
        </w:rPr>
        <w:instrText>时变需求下综合客运枢纽集群对外交通网络韧性评估方法</w:instrText>
      </w:r>
      <w:r>
        <w:rPr>
          <w:rFonts w:ascii="Times New Roman" w:eastAsia="仿宋" w:hAnsi="Times New Roman" w:cs="Times New Roman" w:hint="eastAsia"/>
          <w:sz w:val="24"/>
          <w:szCs w:val="24"/>
        </w:rPr>
        <w:instrText>&lt;/title&gt;&lt;secondary-title&gt;</w:instrText>
      </w:r>
      <w:r>
        <w:rPr>
          <w:rFonts w:ascii="Times New Roman" w:eastAsia="仿宋" w:hAnsi="Times New Roman" w:cs="Times New Roman" w:hint="eastAsia"/>
          <w:sz w:val="24"/>
          <w:szCs w:val="24"/>
        </w:rPr>
        <w:instrText>交通运输工程学报</w:instrText>
      </w:r>
      <w:r>
        <w:rPr>
          <w:rFonts w:ascii="Times New Roman" w:eastAsia="仿宋" w:hAnsi="Times New Roman" w:cs="Times New Roman" w:hint="eastAsia"/>
          <w:sz w:val="24"/>
          <w:szCs w:val="24"/>
        </w:rPr>
        <w:instrText>&lt;/secondary-title&gt;&lt;/titles&gt;&lt;periodical&gt;&lt;full-title&gt;</w:instrText>
      </w:r>
      <w:r>
        <w:rPr>
          <w:rFonts w:ascii="Times New Roman" w:eastAsia="仿宋" w:hAnsi="Times New Roman" w:cs="Times New Roman" w:hint="eastAsia"/>
          <w:sz w:val="24"/>
          <w:szCs w:val="24"/>
        </w:rPr>
        <w:instrText>交通运输工程学报</w:instrText>
      </w:r>
      <w:r>
        <w:rPr>
          <w:rFonts w:ascii="Times New Roman" w:eastAsia="仿宋" w:hAnsi="Times New Roman" w:cs="Times New Roman" w:hint="eastAsia"/>
          <w:sz w:val="24"/>
          <w:szCs w:val="24"/>
        </w:rPr>
        <w:instrText>&lt;/full-title&gt;&lt;/periodical&gt;&lt;pages&gt;155-169&lt;/pages&gt;&lt;volume&gt;26&lt;/volume&gt;&lt;number&gt;02&lt;/number&gt;&lt;keywords&gt;&lt;keyword&gt;</w:instrText>
      </w:r>
      <w:r>
        <w:rPr>
          <w:rFonts w:ascii="Times New Roman" w:eastAsia="仿宋" w:hAnsi="Times New Roman" w:cs="Times New Roman" w:hint="eastAsia"/>
          <w:sz w:val="24"/>
          <w:szCs w:val="24"/>
        </w:rPr>
        <w:instrText>交通网络</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综合客运枢纽集群</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韧性评估</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客流需求</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多模式交通流分配</w:instrText>
      </w:r>
      <w:r>
        <w:rPr>
          <w:rFonts w:ascii="Times New Roman" w:eastAsia="仿宋" w:hAnsi="Times New Roman" w:cs="Times New Roman" w:hint="eastAsia"/>
          <w:sz w:val="24"/>
          <w:szCs w:val="24"/>
        </w:rPr>
        <w:instrText>&lt;/keyword&gt;&lt;keyword&gt;</w:instrText>
      </w:r>
      <w:r>
        <w:rPr>
          <w:rFonts w:ascii="Times New Roman" w:eastAsia="仿宋" w:hAnsi="Times New Roman" w:cs="Times New Roman" w:hint="eastAsia"/>
          <w:sz w:val="24"/>
          <w:szCs w:val="24"/>
        </w:rPr>
        <w:instrText>京津冀城市群</w:instrText>
      </w:r>
      <w:r>
        <w:rPr>
          <w:rFonts w:ascii="Times New Roman" w:eastAsia="仿宋" w:hAnsi="Times New Roman" w:cs="Times New Roman" w:hint="eastAsia"/>
          <w:sz w:val="24"/>
          <w:szCs w:val="24"/>
        </w:rPr>
        <w:instrText>&lt;/keyword&gt;&lt;/keywords&gt;&lt;dates&gt;&lt;year&gt;2026&lt;/year&gt;&lt;/dates&gt;&lt;isbn&gt;1671-1637&lt;/isbn&gt;&lt;call-num&gt;6</w:instrText>
      </w:r>
      <w:r>
        <w:rPr>
          <w:rFonts w:ascii="Times New Roman" w:eastAsia="仿宋" w:hAnsi="Times New Roman" w:cs="Times New Roman"/>
          <w:sz w:val="24"/>
          <w:szCs w:val="24"/>
        </w:rPr>
        <w:instrText>1-1369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[13]</w:t>
      </w:r>
      <w:r>
        <w:rPr>
          <w:rFonts w:ascii="Times New Roman" w:eastAsia="仿宋" w:hAnsi="Times New Roman" w:cs="Times New Roman"/>
          <w:sz w:val="24"/>
          <w:szCs w:val="24"/>
        </w:rPr>
        <w:fldChar w:fldCharType="end"/>
      </w:r>
      <w:bookmarkEnd w:id="27"/>
      <w:bookmarkEnd w:id="28"/>
      <w:r>
        <w:rPr>
          <w:rFonts w:ascii="Times New Roman" w:eastAsia="仿宋" w:hAnsi="Times New Roman" w:cs="Times New Roman"/>
          <w:sz w:val="24"/>
          <w:szCs w:val="24"/>
        </w:rPr>
        <w:t>建立城市交通网络韧性评估方法，张毅等</w:t>
      </w:r>
      <w:bookmarkStart w:id="29" w:name="OLE_LINK109"/>
      <w:bookmarkStart w:id="30" w:name="OLE_LINK110"/>
      <w:r>
        <w:rPr>
          <w:rFonts w:ascii="Times New Roman" w:eastAsia="仿宋" w:hAnsi="Times New Roman" w:cs="Times New Roman"/>
          <w:sz w:val="24"/>
          <w:szCs w:val="24"/>
        </w:rPr>
        <w:fldChar w:fldCharType="begin"/>
      </w:r>
      <w:r>
        <w:rPr>
          <w:rFonts w:ascii="Times New Roman" w:eastAsia="仿宋" w:hAnsi="Times New Roman" w:cs="Times New Roman" w:hint="eastAsia"/>
          <w:sz w:val="24"/>
          <w:szCs w:val="24"/>
        </w:rPr>
        <w:instrText xml:space="preserve"> ADDIN EN.CITE &lt;EndNote&gt;&lt;Cite&gt;&lt;Author&gt;</w:instrText>
      </w:r>
      <w:r>
        <w:rPr>
          <w:rFonts w:ascii="Times New Roman" w:eastAsia="仿宋" w:hAnsi="Times New Roman" w:cs="Times New Roman" w:hint="eastAsia"/>
          <w:sz w:val="24"/>
          <w:szCs w:val="24"/>
        </w:rPr>
        <w:instrText>张毅</w:instrText>
      </w:r>
      <w:r>
        <w:rPr>
          <w:rFonts w:ascii="Times New Roman" w:eastAsia="仿宋" w:hAnsi="Times New Roman" w:cs="Times New Roman" w:hint="eastAsia"/>
          <w:sz w:val="24"/>
          <w:szCs w:val="24"/>
        </w:rPr>
        <w:instrText>&lt;/Author&gt;&lt;Year&gt;2022&lt;/Year&gt;&lt;RecNum&gt;191&lt;/RecNum&gt;&lt;DisplayText&gt;&lt;style face="superscript"&gt;[14]&lt;/style&gt;&lt;/DisplayText&gt;&lt;record&gt;&lt;rec-number&gt;191&lt;/rec-number&gt;&lt;foreign-keys&gt;&lt;key app="EN" db-id="vvvrwwxsb0xrwnev9envf0rhd99dz0f9azad" timestamp="1775118205"&gt;191&lt;/key&gt;&lt;/foreign-keys&gt;&lt;ref-type name="Journal Article"&gt;17&lt;/ref-type&gt;&lt;contributors&gt;&lt;authors&gt;&lt;author&gt;</w:instrText>
      </w:r>
      <w:r>
        <w:rPr>
          <w:rFonts w:ascii="Times New Roman" w:eastAsia="仿宋" w:hAnsi="Times New Roman" w:cs="Times New Roman" w:hint="eastAsia"/>
          <w:sz w:val="24"/>
          <w:szCs w:val="24"/>
        </w:rPr>
        <w:instrText>张毅</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裴华鑫</w:instrText>
      </w:r>
      <w:r>
        <w:rPr>
          <w:rFonts w:ascii="Times New Roman" w:eastAsia="仿宋" w:hAnsi="Times New Roman" w:cs="Times New Roman" w:hint="eastAsia"/>
          <w:sz w:val="24"/>
          <w:szCs w:val="24"/>
        </w:rPr>
        <w:instrText>&lt;/author&gt;&lt;author&gt;</w:instrText>
      </w:r>
      <w:r>
        <w:rPr>
          <w:rFonts w:ascii="Times New Roman" w:eastAsia="仿宋" w:hAnsi="Times New Roman" w:cs="Times New Roman" w:hint="eastAsia"/>
          <w:sz w:val="24"/>
          <w:szCs w:val="24"/>
        </w:rPr>
        <w:instrText>姚丹亚</w:instrText>
      </w:r>
      <w:r>
        <w:rPr>
          <w:rFonts w:ascii="Times New Roman" w:eastAsia="仿宋" w:hAnsi="Times New Roman" w:cs="Times New Roman" w:hint="eastAsia"/>
          <w:sz w:val="24"/>
          <w:szCs w:val="24"/>
        </w:rPr>
        <w:instrText>&lt;/author&gt;&lt;/authors&gt;&lt;/contributors&gt;&lt;titles&gt;&lt;title&gt;</w:instrText>
      </w:r>
      <w:r>
        <w:rPr>
          <w:rFonts w:ascii="Times New Roman" w:eastAsia="仿宋" w:hAnsi="Times New Roman" w:cs="Times New Roman" w:hint="eastAsia"/>
          <w:sz w:val="24"/>
          <w:szCs w:val="24"/>
        </w:rPr>
        <w:instrText>车路协同环境下车辆群体协同决策研究综述</w:instrText>
      </w:r>
      <w:r>
        <w:rPr>
          <w:rFonts w:ascii="Times New Roman" w:eastAsia="仿宋" w:hAnsi="Times New Roman" w:cs="Times New Roman" w:hint="eastAsia"/>
          <w:sz w:val="24"/>
          <w:szCs w:val="24"/>
        </w:rPr>
        <w:instrText>&lt;/title&gt;&lt;secondary-title&gt;</w:instrText>
      </w:r>
      <w:r>
        <w:rPr>
          <w:rFonts w:ascii="Times New Roman" w:eastAsia="仿宋" w:hAnsi="Times New Roman" w:cs="Times New Roman" w:hint="eastAsia"/>
          <w:sz w:val="24"/>
          <w:szCs w:val="24"/>
        </w:rPr>
        <w:instrText>交通运输工程学报</w:instrText>
      </w:r>
      <w:r>
        <w:rPr>
          <w:rFonts w:ascii="Times New Roman" w:eastAsia="仿宋" w:hAnsi="Times New Roman" w:cs="Times New Roman" w:hint="eastAsia"/>
          <w:sz w:val="24"/>
          <w:szCs w:val="24"/>
        </w:rPr>
        <w:instrText>&lt;/secondary-title&gt;&lt;/titles&gt;&lt;periodical&gt;&lt;full-title&gt;</w:instrText>
      </w:r>
      <w:r>
        <w:rPr>
          <w:rFonts w:ascii="Times New Roman" w:eastAsia="仿宋" w:hAnsi="Times New Roman" w:cs="Times New Roman" w:hint="eastAsia"/>
          <w:sz w:val="24"/>
          <w:szCs w:val="24"/>
        </w:rPr>
        <w:instrText>交通运输工程学报</w:instrText>
      </w:r>
      <w:r>
        <w:rPr>
          <w:rFonts w:ascii="Times New Roman" w:eastAsia="仿宋" w:hAnsi="Times New Roman" w:cs="Times New Roman" w:hint="eastAsia"/>
          <w:sz w:val="24"/>
          <w:szCs w:val="24"/>
        </w:rPr>
        <w:instrText>&lt;/full-title&gt;&lt;/periodical&gt;&lt;pages&gt;1&lt;/pages&gt;&lt;volume&gt;22&lt;/volume&gt;&lt;number&gt;3&lt;/number&gt;&lt;dates&gt;&lt;year&gt;2022&lt;/year&gt;&lt;pub-dates&gt;&lt;date&gt;2022-06-25&lt;/date&gt;&lt;/pub-dates&gt;&lt;/dates&gt;&lt;urls&gt;&lt;related-urls&gt;&lt;u</w:instrText>
      </w:r>
      <w:r>
        <w:rPr>
          <w:rFonts w:ascii="Times New Roman" w:eastAsia="仿宋" w:hAnsi="Times New Roman" w:cs="Times New Roman"/>
          <w:sz w:val="24"/>
          <w:szCs w:val="24"/>
        </w:rPr>
        <w:instrText>rl&gt;https://transport.chd.edu.cn/cn/article/id/5219fc5e-708e-49ab-9c3a-1ae65cd36c12&lt;/url&gt;&lt;/related-urls&gt;&lt;/urls&gt;&lt;electronic-resource-num&gt;10.19818/j.cnki.1671-1637.2022.03.001&lt;/electronic-resource-num&gt;&lt;/record&gt;&lt;/Cite&gt;&lt;/EndNote&gt;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[14]</w:t>
      </w:r>
      <w:r>
        <w:rPr>
          <w:rFonts w:ascii="Times New Roman" w:eastAsia="仿宋" w:hAnsi="Times New Roman" w:cs="Times New Roman"/>
          <w:sz w:val="24"/>
          <w:szCs w:val="24"/>
        </w:rPr>
        <w:fldChar w:fldCharType="end"/>
      </w:r>
      <w:bookmarkEnd w:id="29"/>
      <w:bookmarkEnd w:id="30"/>
      <w:r>
        <w:rPr>
          <w:rFonts w:ascii="Times New Roman" w:eastAsia="仿宋" w:hAnsi="Times New Roman" w:cs="Times New Roman"/>
          <w:sz w:val="24"/>
          <w:szCs w:val="24"/>
        </w:rPr>
        <w:t>探索了车路协同应急管控。在危险区域评估方面，高斯烟羽模型因解析简洁、计算高效而被广泛用于快速风险评估</w:t>
      </w:r>
      <w:bookmarkStart w:id="31" w:name="OLE_LINK111"/>
      <w:bookmarkStart w:id="32" w:name="OLE_LINK112"/>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r>
      <w:bookmarkEnd w:id="31"/>
      <w:bookmarkEnd w:id="32"/>
      <w:r>
        <w:rPr>
          <w:rFonts w:ascii="Times New Roman" w:eastAsia="仿宋" w:hAnsi="Times New Roman" w:cs="Times New Roman"/>
          <w:sz w:val="24"/>
          <w:szCs w:val="24"/>
        </w:rPr>
        <w:t>，</w:t>
      </w:r>
      <w:r>
        <w:rPr>
          <w:rFonts w:ascii="Times New Roman" w:eastAsia="仿宋" w:hAnsi="Times New Roman" w:cs="Times New Roman"/>
          <w:sz w:val="24"/>
          <w:szCs w:val="24"/>
        </w:rPr>
        <w:t>Pasquill-Gifford</w:t>
      </w:r>
      <w:r>
        <w:rPr>
          <w:rFonts w:ascii="Times New Roman" w:eastAsia="仿宋" w:hAnsi="Times New Roman" w:cs="Times New Roman"/>
          <w:sz w:val="24"/>
          <w:szCs w:val="24"/>
        </w:rPr>
        <w:t>稳定度分类体系</w:t>
      </w:r>
      <w:bookmarkStart w:id="33" w:name="OLE_LINK113"/>
      <w:bookmarkStart w:id="34" w:name="OLE_LINK114"/>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[16]</w:t>
      </w:r>
      <w:r>
        <w:rPr>
          <w:rFonts w:ascii="Times New Roman" w:eastAsia="仿宋" w:hAnsi="Times New Roman" w:cs="Times New Roman"/>
          <w:sz w:val="24"/>
          <w:szCs w:val="24"/>
        </w:rPr>
        <w:fldChar w:fldCharType="end"/>
      </w:r>
      <w:bookmarkEnd w:id="33"/>
      <w:bookmarkEnd w:id="34"/>
      <w:r>
        <w:rPr>
          <w:rFonts w:ascii="Times New Roman" w:eastAsia="仿宋" w:hAnsi="Times New Roman" w:cs="Times New Roman"/>
          <w:sz w:val="24"/>
          <w:szCs w:val="24"/>
        </w:rPr>
        <w:t>和</w:t>
      </w:r>
      <w:r>
        <w:rPr>
          <w:rFonts w:ascii="Times New Roman" w:eastAsia="仿宋" w:hAnsi="Times New Roman" w:cs="Times New Roman"/>
          <w:sz w:val="24"/>
          <w:szCs w:val="24"/>
        </w:rPr>
        <w:t>ERPG</w:t>
      </w:r>
      <w:r>
        <w:rPr>
          <w:rFonts w:ascii="Times New Roman" w:eastAsia="仿宋" w:hAnsi="Times New Roman" w:cs="Times New Roman"/>
          <w:sz w:val="24"/>
          <w:szCs w:val="24"/>
        </w:rPr>
        <w:t>阈值体系</w:t>
      </w:r>
      <w:bookmarkStart w:id="35" w:name="OLE_LINK115"/>
      <w:bookmarkStart w:id="36" w:name="OLE_LINK116"/>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[17]</w:t>
      </w:r>
      <w:r>
        <w:rPr>
          <w:rFonts w:ascii="Times New Roman" w:eastAsia="仿宋" w:hAnsi="Times New Roman" w:cs="Times New Roman"/>
          <w:sz w:val="24"/>
          <w:szCs w:val="24"/>
        </w:rPr>
        <w:fldChar w:fldCharType="end"/>
      </w:r>
      <w:bookmarkEnd w:id="35"/>
      <w:bookmarkEnd w:id="36"/>
      <w:r>
        <w:rPr>
          <w:rFonts w:ascii="Times New Roman" w:eastAsia="仿宋" w:hAnsi="Times New Roman" w:cs="Times New Roman"/>
          <w:sz w:val="24"/>
          <w:szCs w:val="24"/>
        </w:rPr>
        <w:t>分别为扩散参数估算和危险区域分级提供了实用框架。</w:t>
      </w:r>
    </w:p>
    <w:p w14:paraId="05B682E3" w14:textId="77777777" w:rsidR="00EB0048" w:rsidRDefault="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然而，</w:t>
      </w:r>
      <w:bookmarkStart w:id="37" w:name="OLE_LINK117"/>
      <w:bookmarkStart w:id="38" w:name="OLE_LINK118"/>
      <w:r>
        <w:rPr>
          <w:rFonts w:ascii="Times New Roman" w:eastAsia="仿宋" w:hAnsi="Times New Roman" w:cs="Times New Roman"/>
          <w:sz w:val="24"/>
          <w:szCs w:val="24"/>
        </w:rPr>
        <w:t>现有研究大多将物资配送和人员疏散作为独立问题分别求解</w:t>
      </w:r>
      <w:bookmarkStart w:id="39" w:name="OLE_LINK119"/>
      <w:bookmarkStart w:id="40" w:name="OLE_LINK120"/>
      <w:r>
        <w:rPr>
          <w:rFonts w:ascii="Times New Roman" w:eastAsia="仿宋" w:hAnsi="Times New Roman" w:cs="Times New Roman"/>
          <w:sz w:val="24"/>
          <w:szCs w:val="24"/>
        </w:rPr>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r>
      <w:r>
        <w:rPr>
          <w:rFonts w:ascii="Times New Roman" w:eastAsia="仿宋" w:hAnsi="Times New Roman" w:cs="Times New Roman"/>
          <w:sz w:val="24"/>
          <w:szCs w:val="24"/>
        </w:rPr>
        <w:instrText xml:space="preserve"> ADDIN EN.CITE </w:instrText>
      </w:r>
      <w:r>
        <w:rPr>
          <w:rFonts w:ascii="Times New Roman" w:eastAsia="仿宋" w:hAnsi="Times New Roman" w:cs="Times New Roman"/>
          <w:sz w:val="24"/>
          <w:szCs w:val="24"/>
        </w:rPr>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r>
      <w:r>
        <w:rPr>
          <w:rFonts w:ascii="Times New Roman" w:eastAsia="仿宋" w:hAnsi="Times New Roman" w:cs="Times New Roman"/>
          <w:sz w:val="24"/>
          <w:szCs w:val="24"/>
        </w:rPr>
        <w:instrText xml:space="preserve"> ADDIN EN.CITE.DATA </w:instrText>
      </w:r>
      <w:r>
        <w:rPr>
          <w:rFonts w:ascii="Times New Roman" w:eastAsia="仿宋" w:hAnsi="Times New Roman" w:cs="Times New Roman"/>
          <w:sz w:val="24"/>
          <w:szCs w:val="24"/>
        </w:rPr>
      </w:r>
      <w:r>
        <w:rPr>
          <w:rFonts w:ascii="Times New Roman" w:eastAsia="仿宋" w:hAnsi="Times New Roman" w:cs="Times New Roman"/>
          <w:sz w:val="24"/>
          <w:szCs w:val="24"/>
        </w:rPr>
        <w:fldChar w:fldCharType="end"/>
      </w:r>
      <w:r>
        <w:rPr>
          <w:rFonts w:ascii="Times New Roman" w:eastAsia="仿宋" w:hAnsi="Times New Roman" w:cs="Times New Roman"/>
          <w:sz w:val="24"/>
          <w:szCs w:val="24"/>
        </w:rPr>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 3]</w:t>
      </w:r>
      <w:r>
        <w:rPr>
          <w:rFonts w:ascii="Times New Roman" w:eastAsia="仿宋" w:hAnsi="Times New Roman" w:cs="Times New Roman"/>
          <w:sz w:val="24"/>
          <w:szCs w:val="24"/>
        </w:rPr>
        <w:fldChar w:fldCharType="end"/>
      </w:r>
      <w:bookmarkEnd w:id="37"/>
      <w:bookmarkEnd w:id="38"/>
      <w:bookmarkEnd w:id="39"/>
      <w:bookmarkEnd w:id="40"/>
      <w:r>
        <w:rPr>
          <w:rFonts w:ascii="Times New Roman" w:eastAsia="仿宋" w:hAnsi="Times New Roman" w:cs="Times New Roman"/>
          <w:sz w:val="24"/>
          <w:szCs w:val="24"/>
        </w:rPr>
        <w:t>，忽视了二</w:t>
      </w:r>
      <w:r>
        <w:rPr>
          <w:rFonts w:ascii="Times New Roman" w:eastAsia="仿宋" w:hAnsi="Times New Roman" w:cs="Times New Roman"/>
          <w:sz w:val="24"/>
          <w:szCs w:val="24"/>
        </w:rPr>
        <w:lastRenderedPageBreak/>
        <w:t>者在资源竞争、时间耦合和空间交互方面的关联效应。本研究以北京六环路太和桥区域氯气泄漏事故为场景，构建了同时优化应急物资配送与多类型人员疏散的协同框架，主要贡献包括：（</w:t>
      </w:r>
      <w:r>
        <w:rPr>
          <w:rFonts w:ascii="Times New Roman" w:eastAsia="仿宋" w:hAnsi="Times New Roman" w:cs="Times New Roman"/>
          <w:sz w:val="24"/>
          <w:szCs w:val="24"/>
        </w:rPr>
        <w:t>1</w:t>
      </w:r>
      <w:r>
        <w:rPr>
          <w:rFonts w:ascii="Times New Roman" w:eastAsia="仿宋" w:hAnsi="Times New Roman" w:cs="Times New Roman"/>
          <w:sz w:val="24"/>
          <w:szCs w:val="24"/>
        </w:rPr>
        <w:t>）在统一事故场景下实现物资配送（货车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无人机协同、四级优先级时间窗）和多类型人员疏散（五种交通方式、三类脆弱性分级）的联合优化；（</w:t>
      </w:r>
      <w:r>
        <w:rPr>
          <w:rFonts w:ascii="Times New Roman" w:eastAsia="仿宋" w:hAnsi="Times New Roman" w:cs="Times New Roman"/>
          <w:sz w:val="24"/>
          <w:szCs w:val="24"/>
        </w:rPr>
        <w:t>2</w:t>
      </w:r>
      <w:r>
        <w:rPr>
          <w:rFonts w:ascii="Times New Roman" w:eastAsia="仿宋" w:hAnsi="Times New Roman" w:cs="Times New Roman"/>
          <w:sz w:val="24"/>
          <w:szCs w:val="24"/>
        </w:rPr>
        <w:t>）融合手机定位</w:t>
      </w:r>
      <w:r>
        <w:rPr>
          <w:rFonts w:ascii="Times New Roman" w:eastAsia="仿宋" w:hAnsi="Times New Roman" w:cs="Times New Roman"/>
          <w:sz w:val="24"/>
          <w:szCs w:val="24"/>
        </w:rPr>
        <w:t>OD</w:t>
      </w:r>
      <w:r>
        <w:rPr>
          <w:rFonts w:ascii="Times New Roman" w:eastAsia="仿宋" w:hAnsi="Times New Roman" w:cs="Times New Roman"/>
          <w:sz w:val="24"/>
          <w:szCs w:val="24"/>
        </w:rPr>
        <w:t>数据、</w:t>
      </w:r>
      <w:r>
        <w:rPr>
          <w:rFonts w:ascii="Times New Roman" w:eastAsia="仿宋" w:hAnsi="Times New Roman" w:cs="Times New Roman"/>
          <w:sz w:val="24"/>
          <w:szCs w:val="24"/>
        </w:rPr>
        <w:t>POI</w:t>
      </w:r>
      <w:r>
        <w:rPr>
          <w:rFonts w:ascii="Times New Roman" w:eastAsia="仿宋" w:hAnsi="Times New Roman" w:cs="Times New Roman"/>
          <w:sz w:val="24"/>
          <w:szCs w:val="24"/>
        </w:rPr>
        <w:t>数据库、七普人口年龄结构和</w:t>
      </w:r>
      <w:r>
        <w:rPr>
          <w:rFonts w:ascii="Times New Roman" w:eastAsia="仿宋" w:hAnsi="Times New Roman" w:cs="Times New Roman"/>
          <w:sz w:val="24"/>
          <w:szCs w:val="24"/>
        </w:rPr>
        <w:t>OpenStreetMap</w:t>
      </w:r>
      <w:r>
        <w:rPr>
          <w:rFonts w:ascii="Times New Roman" w:eastAsia="仿宋" w:hAnsi="Times New Roman" w:cs="Times New Roman"/>
          <w:sz w:val="24"/>
          <w:szCs w:val="24"/>
        </w:rPr>
        <w:t>路网等多源城市数据构建高保真仿真环境；（</w:t>
      </w:r>
      <w:r>
        <w:rPr>
          <w:rFonts w:ascii="Times New Roman" w:eastAsia="仿宋" w:hAnsi="Times New Roman" w:cs="Times New Roman"/>
          <w:sz w:val="24"/>
          <w:szCs w:val="24"/>
        </w:rPr>
        <w:t>3</w:t>
      </w:r>
      <w:r>
        <w:rPr>
          <w:rFonts w:ascii="Times New Roman" w:eastAsia="仿宋" w:hAnsi="Times New Roman" w:cs="Times New Roman"/>
          <w:sz w:val="24"/>
          <w:szCs w:val="24"/>
        </w:rPr>
        <w:t>）开展涵盖高斯烟羽扩散模拟、风向敏感性分析和交通系统韧性评估的综合场景分析；（</w:t>
      </w:r>
      <w:r>
        <w:rPr>
          <w:rFonts w:ascii="Times New Roman" w:eastAsia="仿宋" w:hAnsi="Times New Roman" w:cs="Times New Roman"/>
          <w:sz w:val="24"/>
          <w:szCs w:val="24"/>
        </w:rPr>
        <w:t>4</w:t>
      </w:r>
      <w:r>
        <w:rPr>
          <w:rFonts w:ascii="Times New Roman" w:eastAsia="仿宋" w:hAnsi="Times New Roman" w:cs="Times New Roman"/>
          <w:sz w:val="24"/>
          <w:szCs w:val="24"/>
        </w:rPr>
        <w:t>）为应急管理部门在资源预置、车队配置和多模式协调策略等方面提供实践指导。</w:t>
      </w:r>
    </w:p>
    <w:p w14:paraId="45C7E8F3" w14:textId="77777777" w:rsidR="00455831" w:rsidRPr="00455831" w:rsidRDefault="00455831">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本文其余部分组织如下：第</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章介绍研究区域、数据来源与处理方法，并概述研究框架；第</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章建立事故场景模型、物资配送优化模型、人员疏散优化模型和韧性评估框架；第</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章给出案例研究的数值实验结果；第</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章进行综合讨论；第</w:t>
      </w: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章总结全文并提出政策建议。</w:t>
      </w:r>
    </w:p>
    <w:p w14:paraId="21408BBE"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2 </w:t>
      </w:r>
      <w:r>
        <w:rPr>
          <w:rFonts w:ascii="Times New Roman" w:eastAsia="仿宋" w:hAnsi="Times New Roman" w:cs="Times New Roman"/>
          <w:color w:val="3B5AA2"/>
          <w:position w:val="16"/>
          <w:sz w:val="32"/>
          <w:szCs w:val="24"/>
        </w:rPr>
        <w:t>研究区域与数据</w:t>
      </w:r>
    </w:p>
    <w:p w14:paraId="443DCD38"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2.1 </w:t>
      </w:r>
      <w:r>
        <w:rPr>
          <w:rFonts w:ascii="Times New Roman" w:eastAsia="仿宋" w:hAnsi="Times New Roman" w:cs="Times New Roman"/>
          <w:color w:val="3B5AA2"/>
          <w:position w:val="16"/>
          <w:sz w:val="32"/>
        </w:rPr>
        <w:t>研究区域</w:t>
      </w:r>
    </w:p>
    <w:p w14:paraId="11F6A4FA" w14:textId="77777777"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sz w:val="24"/>
          <w:szCs w:val="24"/>
        </w:rPr>
      </w:pPr>
      <w:bookmarkStart w:id="41" w:name="OLE_LINK15"/>
      <w:bookmarkStart w:id="42" w:name="OLE_LINK16"/>
      <w:r>
        <w:rPr>
          <w:rFonts w:ascii="Times New Roman" w:eastAsia="仿宋" w:hAnsi="Times New Roman" w:cs="Times New Roman" w:hint="eastAsia"/>
          <w:sz w:val="24"/>
          <w:szCs w:val="24"/>
        </w:rPr>
        <w:t>北京六环路全长约</w:t>
      </w:r>
      <w:r>
        <w:rPr>
          <w:rFonts w:ascii="Times New Roman" w:eastAsia="仿宋" w:hAnsi="Times New Roman" w:cs="Times New Roman" w:hint="eastAsia"/>
          <w:sz w:val="24"/>
          <w:szCs w:val="24"/>
        </w:rPr>
        <w:t>188 km</w:t>
      </w:r>
      <w:r>
        <w:rPr>
          <w:rFonts w:ascii="Times New Roman" w:eastAsia="仿宋" w:hAnsi="Times New Roman" w:cs="Times New Roman" w:hint="eastAsia"/>
          <w:sz w:val="24"/>
          <w:szCs w:val="24"/>
        </w:rPr>
        <w:t>，是连接中心城区与外围新城的重要快速路环线，承担着大量的货运和通勤交通流量。由于六环路同时也是危险品运输车辆进出北京的主要通道，沿线</w:t>
      </w:r>
      <w:r>
        <w:rPr>
          <w:rFonts w:ascii="Times New Roman" w:eastAsia="仿宋" w:hAnsi="Times New Roman" w:cs="Times New Roman" w:hint="eastAsia"/>
          <w:sz w:val="24"/>
          <w:szCs w:val="24"/>
        </w:rPr>
        <w:t>2014</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2026</w:t>
      </w:r>
      <w:r>
        <w:rPr>
          <w:rFonts w:ascii="Times New Roman" w:eastAsia="仿宋" w:hAnsi="Times New Roman" w:cs="Times New Roman" w:hint="eastAsia"/>
          <w:sz w:val="24"/>
          <w:szCs w:val="24"/>
        </w:rPr>
        <w:t>年间已发生多起涉及柴油、液化气等危化品的运输事故，使其成为城市交通安全管理中需重点关注的高风险走廊。</w:t>
      </w:r>
    </w:p>
    <w:p w14:paraId="3E23D72C" w14:textId="77777777"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本研究选取六环路东南段太和桥立交（</w:t>
      </w:r>
      <w:r>
        <w:rPr>
          <w:rFonts w:ascii="Times New Roman" w:eastAsia="仿宋" w:hAnsi="Times New Roman" w:cs="Times New Roman" w:hint="eastAsia"/>
          <w:sz w:val="24"/>
          <w:szCs w:val="24"/>
        </w:rPr>
        <w:t>116.494</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E</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39.736</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N</w:t>
      </w:r>
      <w:r>
        <w:rPr>
          <w:rFonts w:ascii="Times New Roman" w:eastAsia="仿宋" w:hAnsi="Times New Roman" w:cs="Times New Roman" w:hint="eastAsia"/>
          <w:sz w:val="24"/>
          <w:szCs w:val="24"/>
        </w:rPr>
        <w:t>）作为假设事故中心点。该位置位于亦庄经济技术开发区北缘，具有以下典型性特征：（</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）太和桥立交为六环路与多条城市干道的交汇节点，日常交通流量大，一旦发生事故极易引发大范围交通瘫痪；（</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）周边分布有大量居住社区、工业园区以及学校、养老院等脆弱性敏感设施，受影响人口密度高；（</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）区域内公共交通网络覆盖较为完善，包含亦庄线、亦庄</w:t>
      </w:r>
      <w:r>
        <w:rPr>
          <w:rFonts w:ascii="Times New Roman" w:eastAsia="仿宋" w:hAnsi="Times New Roman" w:cs="Times New Roman" w:hint="eastAsia"/>
          <w:sz w:val="24"/>
          <w:szCs w:val="24"/>
        </w:rPr>
        <w:t>T1</w:t>
      </w:r>
      <w:r>
        <w:rPr>
          <w:rFonts w:ascii="Times New Roman" w:eastAsia="仿宋" w:hAnsi="Times New Roman" w:cs="Times New Roman" w:hint="eastAsia"/>
          <w:sz w:val="24"/>
          <w:szCs w:val="24"/>
        </w:rPr>
        <w:t>线、</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号线和</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号线等地铁线路，为多模式应急疏散提供了可能性。</w:t>
      </w:r>
    </w:p>
    <w:p w14:paraId="7D68663E" w14:textId="62E86FF3" w:rsidR="00EA74A7" w:rsidRDefault="00B87214" w:rsidP="00187076">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研究范围以事故点为中心设置</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半径缓冲区，并与亦庄控规界的</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缓冲区取并集，最终形成总面积约</w:t>
      </w:r>
      <w:r>
        <w:rPr>
          <w:rFonts w:ascii="Times New Roman" w:eastAsia="仿宋" w:hAnsi="Times New Roman" w:cs="Times New Roman" w:hint="eastAsia"/>
          <w:sz w:val="24"/>
          <w:szCs w:val="24"/>
        </w:rPr>
        <w:t>707 km</w:t>
      </w:r>
      <w:r>
        <w:rPr>
          <w:rFonts w:ascii="Calibri" w:eastAsia="仿宋" w:hAnsi="Calibri" w:cs="Calibri"/>
          <w:sz w:val="24"/>
          <w:szCs w:val="24"/>
        </w:rPr>
        <w:t>²</w:t>
      </w:r>
      <w:r>
        <w:rPr>
          <w:rFonts w:ascii="Times New Roman" w:eastAsia="仿宋" w:hAnsi="Times New Roman" w:cs="Times New Roman" w:hint="eastAsia"/>
          <w:sz w:val="24"/>
          <w:szCs w:val="24"/>
        </w:rPr>
        <w:t>的研究区域。选取</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作为缓冲半径的依据如</w:t>
      </w:r>
      <w:r>
        <w:rPr>
          <w:rFonts w:ascii="Times New Roman" w:eastAsia="仿宋" w:hAnsi="Times New Roman" w:cs="Times New Roman" w:hint="eastAsia"/>
          <w:sz w:val="24"/>
          <w:szCs w:val="24"/>
        </w:rPr>
        <w:lastRenderedPageBreak/>
        <w:t>下：（</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）参照《危险化学品重大危险源监督管理暂行规定》和国内已有案例，氯气等有毒气体在典型气象条件下的最大影响距离一般不超过</w:t>
      </w:r>
      <w:r>
        <w:rPr>
          <w:rFonts w:ascii="Times New Roman" w:eastAsia="仿宋" w:hAnsi="Times New Roman" w:cs="Times New Roman" w:hint="eastAsia"/>
          <w:sz w:val="24"/>
          <w:szCs w:val="24"/>
        </w:rPr>
        <w:t>10 km</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可确保覆盖全部潜在影响范围；（</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）该半径可覆盖事故点周边主要的医疗救治设施和应急物资储备站点，保证物流网络的完整性；（</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）已有应急疏散研究表明，城市快速路事故的交通拥堵扩散效应通常在</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范围内逐渐衰减。图</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展示了研究区域的空间范围、道路网络和应急设施分布。</w:t>
      </w:r>
      <w:bookmarkEnd w:id="41"/>
      <w:bookmarkEnd w:id="42"/>
    </w:p>
    <w:p w14:paraId="247F58CC" w14:textId="2B35F8A2" w:rsidR="00187076" w:rsidRDefault="00187076"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noProof/>
          <w:sz w:val="24"/>
          <w:szCs w:val="24"/>
        </w:rPr>
        <w:drawing>
          <wp:inline distT="0" distB="0" distL="0" distR="0" wp14:anchorId="509020A3" wp14:editId="23D3C0C2">
            <wp:extent cx="5731510" cy="5356860"/>
            <wp:effectExtent l="0" t="0" r="0" b="2540"/>
            <wp:docPr id="12313010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01013" name="图片 1231301013"/>
                    <pic:cNvPicPr/>
                  </pic:nvPicPr>
                  <pic:blipFill>
                    <a:blip r:embed="rId6">
                      <a:extLst>
                        <a:ext uri="{28A0092B-C50C-407E-A947-70E740481C1C}">
                          <a14:useLocalDpi xmlns:a14="http://schemas.microsoft.com/office/drawing/2010/main" val="0"/>
                        </a:ext>
                      </a:extLst>
                    </a:blip>
                    <a:stretch>
                      <a:fillRect/>
                    </a:stretch>
                  </pic:blipFill>
                  <pic:spPr>
                    <a:xfrm>
                      <a:off x="0" y="0"/>
                      <a:ext cx="5731510" cy="5356860"/>
                    </a:xfrm>
                    <a:prstGeom prst="rect">
                      <a:avLst/>
                    </a:prstGeom>
                  </pic:spPr>
                </pic:pic>
              </a:graphicData>
            </a:graphic>
          </wp:inline>
        </w:drawing>
      </w:r>
    </w:p>
    <w:p w14:paraId="5B85224D" w14:textId="77777777" w:rsidR="004E0AD0"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 xml:space="preserve">　研究区域</w:t>
      </w:r>
    </w:p>
    <w:p w14:paraId="29275668" w14:textId="27074284" w:rsidR="00EB0048"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Fig.1 Study area</w:t>
      </w:r>
    </w:p>
    <w:p w14:paraId="652A9B09"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2.2 </w:t>
      </w:r>
      <w:r>
        <w:rPr>
          <w:rFonts w:ascii="Times New Roman" w:eastAsia="仿宋" w:hAnsi="Times New Roman" w:cs="Times New Roman"/>
          <w:color w:val="3B5AA2"/>
          <w:position w:val="16"/>
          <w:sz w:val="32"/>
        </w:rPr>
        <w:t>数据来源</w:t>
      </w:r>
    </w:p>
    <w:p w14:paraId="2E8A9E82" w14:textId="77777777" w:rsidR="009F0498" w:rsidRPr="009F0498" w:rsidRDefault="009F0498" w:rsidP="009F0498">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本研究融合七类多源城市数据构建高保真仿真环境，各数据集的来源、时间跨度、空间精度及关键属性如表</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所示。</w:t>
      </w:r>
    </w:p>
    <w:p w14:paraId="16EFACD5" w14:textId="77777777" w:rsidR="00EB0048" w:rsidRPr="009F0498" w:rsidRDefault="00000000">
      <w:pPr>
        <w:spacing w:before="100" w:after="80"/>
        <w:jc w:val="center"/>
        <w:rPr>
          <w:rFonts w:ascii="Times New Roman" w:eastAsia="黑体" w:hAnsi="Times New Roman" w:cs="Times New Roman"/>
          <w:b/>
          <w:bCs/>
        </w:rPr>
      </w:pPr>
      <w:r>
        <w:rPr>
          <w:rFonts w:ascii="Times New Roman" w:eastAsia="黑体" w:hAnsi="Times New Roman" w:cs="Times New Roman"/>
          <w:b/>
          <w:bCs/>
        </w:rPr>
        <w:t>表</w:t>
      </w:r>
      <w:r>
        <w:rPr>
          <w:rFonts w:ascii="Times New Roman" w:eastAsia="黑体" w:hAnsi="Times New Roman" w:cs="Times New Roman"/>
          <w:b/>
          <w:bCs/>
        </w:rPr>
        <w:t xml:space="preserve">1 </w:t>
      </w:r>
      <w:r>
        <w:rPr>
          <w:rFonts w:ascii="Times New Roman" w:eastAsia="黑体" w:hAnsi="Times New Roman" w:cs="Times New Roman"/>
          <w:b/>
          <w:bCs/>
        </w:rPr>
        <w:t>数据来源及描述</w:t>
      </w:r>
      <w:r>
        <w:rPr>
          <w:rFonts w:ascii="Times New Roman" w:eastAsia="黑体" w:hAnsi="Times New Roman" w:cs="Times New Roman" w:hint="eastAsia"/>
          <w:b/>
          <w:bCs/>
        </w:rPr>
        <w:t>/ Table 1  Summary of data sources</w:t>
      </w:r>
    </w:p>
    <w:tbl>
      <w:tblPr>
        <w:tblStyle w:val="ab"/>
        <w:tblW w:w="9360" w:type="dxa"/>
        <w:tblLook w:val="04A0" w:firstRow="1" w:lastRow="0" w:firstColumn="1" w:lastColumn="0" w:noHBand="0" w:noVBand="1"/>
      </w:tblPr>
      <w:tblGrid>
        <w:gridCol w:w="1800"/>
        <w:gridCol w:w="2400"/>
        <w:gridCol w:w="1800"/>
        <w:gridCol w:w="3360"/>
      </w:tblGrid>
      <w:tr w:rsidR="00EB0048" w14:paraId="6154F784" w14:textId="77777777" w:rsidTr="00090F3E">
        <w:tc>
          <w:tcPr>
            <w:tcW w:w="1800" w:type="dxa"/>
          </w:tcPr>
          <w:p w14:paraId="03C6256C" w14:textId="77777777" w:rsidR="00EB0048" w:rsidRDefault="00000000" w:rsidP="00090F3E">
            <w:pPr>
              <w:jc w:val="center"/>
              <w:rPr>
                <w:rFonts w:ascii="Times New Roman" w:hAnsi="Times New Roman" w:cs="Times New Roman"/>
              </w:rPr>
            </w:pPr>
            <w:r>
              <w:rPr>
                <w:rFonts w:ascii="Times New Roman" w:hAnsi="Times New Roman" w:cs="Times New Roman"/>
                <w:b/>
                <w:bCs/>
                <w:sz w:val="20"/>
                <w:szCs w:val="20"/>
              </w:rPr>
              <w:t>数据类别</w:t>
            </w:r>
          </w:p>
        </w:tc>
        <w:tc>
          <w:tcPr>
            <w:tcW w:w="2400" w:type="dxa"/>
          </w:tcPr>
          <w:p w14:paraId="639662FE" w14:textId="77777777" w:rsidR="00EB0048" w:rsidRDefault="00000000" w:rsidP="00090F3E">
            <w:pPr>
              <w:jc w:val="center"/>
              <w:rPr>
                <w:rFonts w:ascii="Times New Roman" w:hAnsi="Times New Roman" w:cs="Times New Roman"/>
              </w:rPr>
            </w:pPr>
            <w:r>
              <w:rPr>
                <w:rFonts w:ascii="Times New Roman" w:hAnsi="Times New Roman" w:cs="Times New Roman"/>
                <w:b/>
                <w:bCs/>
                <w:sz w:val="20"/>
                <w:szCs w:val="20"/>
              </w:rPr>
              <w:t>来源</w:t>
            </w:r>
          </w:p>
        </w:tc>
        <w:tc>
          <w:tcPr>
            <w:tcW w:w="1800" w:type="dxa"/>
          </w:tcPr>
          <w:p w14:paraId="1B60A469" w14:textId="77777777" w:rsidR="00EB0048" w:rsidRDefault="00000000" w:rsidP="00090F3E">
            <w:pPr>
              <w:jc w:val="center"/>
              <w:rPr>
                <w:rFonts w:ascii="Times New Roman" w:hAnsi="Times New Roman" w:cs="Times New Roman"/>
              </w:rPr>
            </w:pPr>
            <w:r>
              <w:rPr>
                <w:rFonts w:ascii="Times New Roman" w:hAnsi="Times New Roman" w:cs="Times New Roman"/>
                <w:b/>
                <w:bCs/>
                <w:sz w:val="20"/>
                <w:szCs w:val="20"/>
              </w:rPr>
              <w:t>空间精度</w:t>
            </w:r>
          </w:p>
        </w:tc>
        <w:tc>
          <w:tcPr>
            <w:tcW w:w="3360" w:type="dxa"/>
          </w:tcPr>
          <w:p w14:paraId="65900677" w14:textId="77777777" w:rsidR="00EB0048" w:rsidRDefault="00000000" w:rsidP="00090F3E">
            <w:pPr>
              <w:jc w:val="center"/>
              <w:rPr>
                <w:rFonts w:ascii="Times New Roman" w:hAnsi="Times New Roman" w:cs="Times New Roman"/>
              </w:rPr>
            </w:pPr>
            <w:r>
              <w:rPr>
                <w:rFonts w:ascii="Times New Roman" w:hAnsi="Times New Roman" w:cs="Times New Roman"/>
                <w:b/>
                <w:bCs/>
                <w:sz w:val="20"/>
                <w:szCs w:val="20"/>
              </w:rPr>
              <w:t>关键属性</w:t>
            </w:r>
          </w:p>
        </w:tc>
      </w:tr>
      <w:tr w:rsidR="00EB0048" w14:paraId="748418A4" w14:textId="77777777" w:rsidTr="00090F3E">
        <w:tc>
          <w:tcPr>
            <w:tcW w:w="1800" w:type="dxa"/>
          </w:tcPr>
          <w:p w14:paraId="13A87F90"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道路网络</w:t>
            </w:r>
          </w:p>
        </w:tc>
        <w:tc>
          <w:tcPr>
            <w:tcW w:w="2400" w:type="dxa"/>
          </w:tcPr>
          <w:p w14:paraId="42326D69"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OpenStreetMap</w:t>
            </w:r>
          </w:p>
        </w:tc>
        <w:tc>
          <w:tcPr>
            <w:tcW w:w="1800" w:type="dxa"/>
          </w:tcPr>
          <w:p w14:paraId="239C3488"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路段级</w:t>
            </w:r>
          </w:p>
        </w:tc>
        <w:tc>
          <w:tcPr>
            <w:tcW w:w="3360" w:type="dxa"/>
          </w:tcPr>
          <w:p w14:paraId="3A9801A6"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道路等级、限速、通行方向</w:t>
            </w:r>
          </w:p>
        </w:tc>
      </w:tr>
      <w:tr w:rsidR="00EB0048" w14:paraId="04C7C864" w14:textId="77777777" w:rsidTr="00090F3E">
        <w:tc>
          <w:tcPr>
            <w:tcW w:w="1800" w:type="dxa"/>
          </w:tcPr>
          <w:p w14:paraId="0AB23588"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兴趣点（</w:t>
            </w:r>
            <w:r>
              <w:rPr>
                <w:rFonts w:ascii="Times New Roman" w:hAnsi="Times New Roman" w:cs="Times New Roman"/>
                <w:sz w:val="20"/>
                <w:szCs w:val="20"/>
              </w:rPr>
              <w:t>POI</w:t>
            </w:r>
            <w:r>
              <w:rPr>
                <w:rFonts w:ascii="Times New Roman" w:hAnsi="Times New Roman" w:cs="Times New Roman"/>
                <w:sz w:val="20"/>
                <w:szCs w:val="20"/>
              </w:rPr>
              <w:t>）</w:t>
            </w:r>
          </w:p>
        </w:tc>
        <w:tc>
          <w:tcPr>
            <w:tcW w:w="2400" w:type="dxa"/>
          </w:tcPr>
          <w:p w14:paraId="71BC4FBC"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百度地图</w:t>
            </w:r>
          </w:p>
        </w:tc>
        <w:tc>
          <w:tcPr>
            <w:tcW w:w="1800" w:type="dxa"/>
          </w:tcPr>
          <w:p w14:paraId="604BDB60"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点级</w:t>
            </w:r>
          </w:p>
        </w:tc>
        <w:tc>
          <w:tcPr>
            <w:tcW w:w="3360" w:type="dxa"/>
          </w:tcPr>
          <w:p w14:paraId="592BEA49"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类别、名称、</w:t>
            </w:r>
            <w:r>
              <w:rPr>
                <w:rFonts w:ascii="Times New Roman" w:hAnsi="Times New Roman" w:cs="Times New Roman"/>
                <w:sz w:val="20"/>
                <w:szCs w:val="20"/>
              </w:rPr>
              <w:t>WGS84</w:t>
            </w:r>
            <w:r>
              <w:rPr>
                <w:rFonts w:ascii="Times New Roman" w:hAnsi="Times New Roman" w:cs="Times New Roman"/>
                <w:sz w:val="20"/>
                <w:szCs w:val="20"/>
              </w:rPr>
              <w:t>坐标</w:t>
            </w:r>
          </w:p>
        </w:tc>
      </w:tr>
      <w:tr w:rsidR="00EB0048" w14:paraId="49C3DC23" w14:textId="77777777" w:rsidTr="00090F3E">
        <w:tc>
          <w:tcPr>
            <w:tcW w:w="1800" w:type="dxa"/>
          </w:tcPr>
          <w:p w14:paraId="7F5F5DF2"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人口时空分布</w:t>
            </w:r>
          </w:p>
        </w:tc>
        <w:tc>
          <w:tcPr>
            <w:tcW w:w="2400" w:type="dxa"/>
          </w:tcPr>
          <w:p w14:paraId="08A400E8"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百度手机定位</w:t>
            </w:r>
          </w:p>
        </w:tc>
        <w:tc>
          <w:tcPr>
            <w:tcW w:w="1800" w:type="dxa"/>
          </w:tcPr>
          <w:p w14:paraId="16C37EA7"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Pr>
          <w:p w14:paraId="64DE9340"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逐小时</w:t>
            </w:r>
            <w:r>
              <w:rPr>
                <w:rFonts w:ascii="Times New Roman" w:hAnsi="Times New Roman" w:cs="Times New Roman"/>
                <w:sz w:val="20"/>
                <w:szCs w:val="20"/>
              </w:rPr>
              <w:t>OD</w:t>
            </w:r>
            <w:r>
              <w:rPr>
                <w:rFonts w:ascii="Times New Roman" w:hAnsi="Times New Roman" w:cs="Times New Roman"/>
                <w:sz w:val="20"/>
                <w:szCs w:val="20"/>
              </w:rPr>
              <w:t>流量、通勤模式</w:t>
            </w:r>
          </w:p>
        </w:tc>
      </w:tr>
      <w:tr w:rsidR="00EB0048" w14:paraId="64D66D22" w14:textId="77777777" w:rsidTr="00090F3E">
        <w:tc>
          <w:tcPr>
            <w:tcW w:w="1800" w:type="dxa"/>
          </w:tcPr>
          <w:p w14:paraId="79E0F50A"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地块级人口</w:t>
            </w:r>
          </w:p>
        </w:tc>
        <w:tc>
          <w:tcPr>
            <w:tcW w:w="2400" w:type="dxa"/>
          </w:tcPr>
          <w:p w14:paraId="46258807"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百度</w:t>
            </w:r>
            <w:r>
              <w:rPr>
                <w:rFonts w:ascii="Times New Roman" w:hAnsi="Times New Roman" w:cs="Times New Roman"/>
                <w:sz w:val="20"/>
                <w:szCs w:val="20"/>
              </w:rPr>
              <w:t>LBS</w:t>
            </w:r>
          </w:p>
        </w:tc>
        <w:tc>
          <w:tcPr>
            <w:tcW w:w="1800" w:type="dxa"/>
          </w:tcPr>
          <w:p w14:paraId="28E05713"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地块级</w:t>
            </w:r>
          </w:p>
        </w:tc>
        <w:tc>
          <w:tcPr>
            <w:tcW w:w="3360" w:type="dxa"/>
          </w:tcPr>
          <w:p w14:paraId="41794846"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常住人口数量</w:t>
            </w:r>
          </w:p>
        </w:tc>
      </w:tr>
      <w:tr w:rsidR="00EB0048" w14:paraId="52A13486" w14:textId="77777777" w:rsidTr="00090F3E">
        <w:tc>
          <w:tcPr>
            <w:tcW w:w="1800" w:type="dxa"/>
          </w:tcPr>
          <w:p w14:paraId="1125AB0A"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年龄结构</w:t>
            </w:r>
          </w:p>
        </w:tc>
        <w:tc>
          <w:tcPr>
            <w:tcW w:w="2400" w:type="dxa"/>
          </w:tcPr>
          <w:p w14:paraId="6D1F5182"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第七次全国人口普查（</w:t>
            </w:r>
            <w:r>
              <w:rPr>
                <w:rFonts w:ascii="Times New Roman" w:hAnsi="Times New Roman" w:cs="Times New Roman"/>
                <w:sz w:val="20"/>
                <w:szCs w:val="20"/>
              </w:rPr>
              <w:t>2020</w:t>
            </w:r>
            <w:r>
              <w:rPr>
                <w:rFonts w:ascii="Times New Roman" w:hAnsi="Times New Roman" w:cs="Times New Roman"/>
                <w:sz w:val="20"/>
                <w:szCs w:val="20"/>
              </w:rPr>
              <w:t>年）</w:t>
            </w:r>
          </w:p>
        </w:tc>
        <w:tc>
          <w:tcPr>
            <w:tcW w:w="1800" w:type="dxa"/>
          </w:tcPr>
          <w:p w14:paraId="6586CEE0"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区县级</w:t>
            </w:r>
          </w:p>
        </w:tc>
        <w:tc>
          <w:tcPr>
            <w:tcW w:w="3360" w:type="dxa"/>
          </w:tcPr>
          <w:p w14:paraId="7FBB61BB"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分</w:t>
            </w:r>
            <w:r>
              <w:rPr>
                <w:rFonts w:ascii="Times New Roman" w:hAnsi="Times New Roman" w:cs="Times New Roman"/>
                <w:sz w:val="20"/>
                <w:szCs w:val="20"/>
              </w:rPr>
              <w:t>5</w:t>
            </w:r>
            <w:r>
              <w:rPr>
                <w:rFonts w:ascii="Times New Roman" w:hAnsi="Times New Roman" w:cs="Times New Roman"/>
                <w:sz w:val="20"/>
                <w:szCs w:val="20"/>
              </w:rPr>
              <w:t>岁组的年龄</w:t>
            </w:r>
            <w:r>
              <w:rPr>
                <w:rFonts w:ascii="Times New Roman" w:hAnsi="Times New Roman" w:cs="Times New Roman"/>
                <w:sz w:val="20"/>
                <w:szCs w:val="20"/>
              </w:rPr>
              <w:t>—</w:t>
            </w:r>
            <w:r>
              <w:rPr>
                <w:rFonts w:ascii="Times New Roman" w:hAnsi="Times New Roman" w:cs="Times New Roman"/>
                <w:sz w:val="20"/>
                <w:szCs w:val="20"/>
              </w:rPr>
              <w:t>性别分布</w:t>
            </w:r>
          </w:p>
        </w:tc>
      </w:tr>
      <w:tr w:rsidR="00EB0048" w14:paraId="28D9D9A7" w14:textId="77777777" w:rsidTr="00090F3E">
        <w:tc>
          <w:tcPr>
            <w:tcW w:w="1800" w:type="dxa"/>
          </w:tcPr>
          <w:p w14:paraId="0D68E09C"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通勤模式</w:t>
            </w:r>
          </w:p>
        </w:tc>
        <w:tc>
          <w:tcPr>
            <w:tcW w:w="2400" w:type="dxa"/>
          </w:tcPr>
          <w:p w14:paraId="0B7D71AE"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百度手机定位</w:t>
            </w:r>
          </w:p>
        </w:tc>
        <w:tc>
          <w:tcPr>
            <w:tcW w:w="1800" w:type="dxa"/>
          </w:tcPr>
          <w:p w14:paraId="667ECBBE"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Pr>
          <w:p w14:paraId="295B2652"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方式划分（驾车、地铁、公交等）</w:t>
            </w:r>
          </w:p>
        </w:tc>
      </w:tr>
      <w:tr w:rsidR="00EB0048" w14:paraId="592D4111" w14:textId="77777777" w:rsidTr="00090F3E">
        <w:tc>
          <w:tcPr>
            <w:tcW w:w="1800" w:type="dxa"/>
          </w:tcPr>
          <w:p w14:paraId="487FA88B"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行政边界</w:t>
            </w:r>
          </w:p>
        </w:tc>
        <w:tc>
          <w:tcPr>
            <w:tcW w:w="2400" w:type="dxa"/>
          </w:tcPr>
          <w:p w14:paraId="6471C445"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规划管理部门</w:t>
            </w:r>
          </w:p>
        </w:tc>
        <w:tc>
          <w:tcPr>
            <w:tcW w:w="1800" w:type="dxa"/>
          </w:tcPr>
          <w:p w14:paraId="7B837ADB"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多边形</w:t>
            </w:r>
          </w:p>
        </w:tc>
        <w:tc>
          <w:tcPr>
            <w:tcW w:w="3360" w:type="dxa"/>
          </w:tcPr>
          <w:p w14:paraId="7E0D240F" w14:textId="77777777" w:rsidR="00EB0048" w:rsidRDefault="00000000" w:rsidP="00090F3E">
            <w:pPr>
              <w:jc w:val="center"/>
              <w:rPr>
                <w:rFonts w:ascii="Times New Roman" w:hAnsi="Times New Roman" w:cs="Times New Roman"/>
              </w:rPr>
            </w:pPr>
            <w:r>
              <w:rPr>
                <w:rFonts w:ascii="Times New Roman" w:hAnsi="Times New Roman" w:cs="Times New Roman"/>
                <w:sz w:val="20"/>
                <w:szCs w:val="20"/>
              </w:rPr>
              <w:t>亦庄开发区控规界</w:t>
            </w:r>
          </w:p>
        </w:tc>
      </w:tr>
    </w:tbl>
    <w:p w14:paraId="38261F7D" w14:textId="77777777" w:rsidR="009F0498" w:rsidRPr="009F0498" w:rsidRDefault="009F0498" w:rsidP="009F0498">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上述数据在空间覆盖范围、时间粒度和语义维度上具有互补性：</w:t>
      </w:r>
      <w:r>
        <w:rPr>
          <w:rFonts w:ascii="Times New Roman" w:eastAsia="仿宋" w:hAnsi="Times New Roman" w:cs="Times New Roman" w:hint="eastAsia"/>
          <w:sz w:val="24"/>
          <w:szCs w:val="24"/>
        </w:rPr>
        <w:t>OSM</w:t>
      </w:r>
      <w:r>
        <w:rPr>
          <w:rFonts w:ascii="Times New Roman" w:eastAsia="仿宋" w:hAnsi="Times New Roman" w:cs="Times New Roman" w:hint="eastAsia"/>
          <w:sz w:val="24"/>
          <w:szCs w:val="24"/>
        </w:rPr>
        <w:t>路网提供交通网络的拓扑结构与物理属性，</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数据提供应急设施的空间位置与功能类型，手机定位数据捕获人口时空分布与出行行为特征，人口普查数据提供年龄结构信息用于脆弱性分级，通勤数据用于估算区域内私家车可用比例。多源数据的融合使得本研究能够在统一的时空框架下同时支撑物资配送网络建模和人员疏散需求估算。</w:t>
      </w:r>
    </w:p>
    <w:p w14:paraId="2992D0FC"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2.3 </w:t>
      </w:r>
      <w:r>
        <w:rPr>
          <w:rFonts w:ascii="Times New Roman" w:eastAsia="仿宋" w:hAnsi="Times New Roman" w:cs="Times New Roman"/>
          <w:color w:val="3B5AA2"/>
          <w:position w:val="16"/>
          <w:sz w:val="32"/>
        </w:rPr>
        <w:t>数据处理</w:t>
      </w:r>
    </w:p>
    <w:p w14:paraId="00680D78"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数据处理流程分为坐标统一、空间裁剪、网络构建、人口分配和出行数据处理五个环节，下面分别阐述。</w:t>
      </w:r>
    </w:p>
    <w:p w14:paraId="32D977B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2.3.1  </w:t>
      </w:r>
      <w:r>
        <w:rPr>
          <w:rFonts w:ascii="Times New Roman" w:eastAsia="仿宋" w:hAnsi="Times New Roman" w:cs="Times New Roman" w:hint="eastAsia"/>
          <w:b/>
          <w:bCs/>
          <w:color w:val="3B5AA2"/>
          <w:sz w:val="28"/>
          <w:szCs w:val="21"/>
        </w:rPr>
        <w:t>坐标系统一与空间裁剪</w:t>
      </w:r>
    </w:p>
    <w:p w14:paraId="5BD3112F"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所有空间数据统一至</w:t>
      </w:r>
      <w:r>
        <w:rPr>
          <w:rFonts w:ascii="Times New Roman" w:eastAsia="仿宋" w:hAnsi="Times New Roman" w:cs="Times New Roman" w:hint="eastAsia"/>
          <w:sz w:val="24"/>
          <w:szCs w:val="24"/>
        </w:rPr>
        <w:t>WGS84</w:t>
      </w:r>
      <w:r>
        <w:rPr>
          <w:rFonts w:ascii="Times New Roman" w:eastAsia="仿宋" w:hAnsi="Times New Roman" w:cs="Times New Roman" w:hint="eastAsia"/>
          <w:sz w:val="24"/>
          <w:szCs w:val="24"/>
        </w:rPr>
        <w:t>地理坐标系（</w:t>
      </w:r>
      <w:r>
        <w:rPr>
          <w:rFonts w:ascii="Times New Roman" w:eastAsia="仿宋" w:hAnsi="Times New Roman" w:cs="Times New Roman" w:hint="eastAsia"/>
          <w:sz w:val="24"/>
          <w:szCs w:val="24"/>
        </w:rPr>
        <w:t>EPSG:4326</w:t>
      </w:r>
      <w:r>
        <w:rPr>
          <w:rFonts w:ascii="Times New Roman" w:eastAsia="仿宋" w:hAnsi="Times New Roman" w:cs="Times New Roman" w:hint="eastAsia"/>
          <w:sz w:val="24"/>
          <w:szCs w:val="24"/>
        </w:rPr>
        <w:t>），涉及投影计算时采用</w:t>
      </w:r>
      <w:r>
        <w:rPr>
          <w:rFonts w:ascii="Times New Roman" w:eastAsia="仿宋" w:hAnsi="Times New Roman" w:cs="Times New Roman" w:hint="eastAsia"/>
          <w:sz w:val="24"/>
          <w:szCs w:val="24"/>
        </w:rPr>
        <w:t>UTM 50N</w:t>
      </w:r>
      <w:r>
        <w:rPr>
          <w:rFonts w:ascii="Times New Roman" w:eastAsia="仿宋" w:hAnsi="Times New Roman" w:cs="Times New Roman" w:hint="eastAsia"/>
          <w:sz w:val="24"/>
          <w:szCs w:val="24"/>
        </w:rPr>
        <w:t>投影（</w:t>
      </w:r>
      <w:r>
        <w:rPr>
          <w:rFonts w:ascii="Times New Roman" w:eastAsia="仿宋" w:hAnsi="Times New Roman" w:cs="Times New Roman" w:hint="eastAsia"/>
          <w:sz w:val="24"/>
          <w:szCs w:val="24"/>
        </w:rPr>
        <w:t>EPSG:32650</w:t>
      </w:r>
      <w:r>
        <w:rPr>
          <w:rFonts w:ascii="Times New Roman" w:eastAsia="仿宋" w:hAnsi="Times New Roman" w:cs="Times New Roman" w:hint="eastAsia"/>
          <w:sz w:val="24"/>
          <w:szCs w:val="24"/>
        </w:rPr>
        <w:t>）。百度手机定位和</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数据原始坐标采用</w:t>
      </w:r>
      <w:r>
        <w:rPr>
          <w:rFonts w:ascii="Times New Roman" w:eastAsia="仿宋" w:hAnsi="Times New Roman" w:cs="Times New Roman" w:hint="eastAsia"/>
          <w:sz w:val="24"/>
          <w:szCs w:val="24"/>
        </w:rPr>
        <w:t>BD-09</w:t>
      </w:r>
      <w:r>
        <w:rPr>
          <w:rFonts w:ascii="Times New Roman" w:eastAsia="仿宋" w:hAnsi="Times New Roman" w:cs="Times New Roman" w:hint="eastAsia"/>
          <w:sz w:val="24"/>
          <w:szCs w:val="24"/>
        </w:rPr>
        <w:t>坐标系，需经两步转换：首先通过逆偏移将</w:t>
      </w:r>
      <w:r>
        <w:rPr>
          <w:rFonts w:ascii="Times New Roman" w:eastAsia="仿宋" w:hAnsi="Times New Roman" w:cs="Times New Roman" w:hint="eastAsia"/>
          <w:sz w:val="24"/>
          <w:szCs w:val="24"/>
        </w:rPr>
        <w:t>BD-09</w:t>
      </w:r>
      <w:r>
        <w:rPr>
          <w:rFonts w:ascii="Times New Roman" w:eastAsia="仿宋" w:hAnsi="Times New Roman" w:cs="Times New Roman" w:hint="eastAsia"/>
          <w:sz w:val="24"/>
          <w:szCs w:val="24"/>
        </w:rPr>
        <w:t>转换为</w:t>
      </w:r>
      <w:r>
        <w:rPr>
          <w:rFonts w:ascii="Times New Roman" w:eastAsia="仿宋" w:hAnsi="Times New Roman" w:cs="Times New Roman" w:hint="eastAsia"/>
          <w:sz w:val="24"/>
          <w:szCs w:val="24"/>
        </w:rPr>
        <w:t>GCJ-02</w:t>
      </w:r>
      <w:r>
        <w:rPr>
          <w:rFonts w:ascii="Times New Roman" w:eastAsia="仿宋" w:hAnsi="Times New Roman" w:cs="Times New Roman" w:hint="eastAsia"/>
          <w:sz w:val="24"/>
          <w:szCs w:val="24"/>
        </w:rPr>
        <w:t>坐标，再通过椭球参数迭代将</w:t>
      </w:r>
      <w:r>
        <w:rPr>
          <w:rFonts w:ascii="Times New Roman" w:eastAsia="仿宋" w:hAnsi="Times New Roman" w:cs="Times New Roman" w:hint="eastAsia"/>
          <w:sz w:val="24"/>
          <w:szCs w:val="24"/>
        </w:rPr>
        <w:t>GCJ-02</w:t>
      </w:r>
      <w:r>
        <w:rPr>
          <w:rFonts w:ascii="Times New Roman" w:eastAsia="仿宋" w:hAnsi="Times New Roman" w:cs="Times New Roman" w:hint="eastAsia"/>
          <w:sz w:val="24"/>
          <w:szCs w:val="24"/>
        </w:rPr>
        <w:t>还原为</w:t>
      </w:r>
      <w:r>
        <w:rPr>
          <w:rFonts w:ascii="Times New Roman" w:eastAsia="仿宋" w:hAnsi="Times New Roman" w:cs="Times New Roman" w:hint="eastAsia"/>
          <w:sz w:val="24"/>
          <w:szCs w:val="24"/>
        </w:rPr>
        <w:t>WGS84</w:t>
      </w:r>
      <w:r>
        <w:rPr>
          <w:rFonts w:ascii="Times New Roman" w:eastAsia="仿宋" w:hAnsi="Times New Roman" w:cs="Times New Roman" w:hint="eastAsia"/>
          <w:sz w:val="24"/>
          <w:szCs w:val="24"/>
        </w:rPr>
        <w:t>坐标。转换完成后，以研究区域边界为掩膜对各类空间数据进行裁剪，仅保留研究范围内的要素。</w:t>
      </w:r>
    </w:p>
    <w:p w14:paraId="4B470E8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lastRenderedPageBreak/>
        <w:t xml:space="preserve">2.3.2  </w:t>
      </w:r>
      <w:r>
        <w:rPr>
          <w:rFonts w:ascii="Times New Roman" w:eastAsia="仿宋" w:hAnsi="Times New Roman" w:cs="Times New Roman" w:hint="eastAsia"/>
          <w:b/>
          <w:bCs/>
          <w:color w:val="3B5AA2"/>
          <w:sz w:val="28"/>
          <w:szCs w:val="21"/>
        </w:rPr>
        <w:t>道路网络构建</w:t>
      </w:r>
    </w:p>
    <w:p w14:paraId="0005B581"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从</w:t>
      </w:r>
      <w:r>
        <w:rPr>
          <w:rFonts w:ascii="Times New Roman" w:eastAsia="仿宋" w:hAnsi="Times New Roman" w:cs="Times New Roman" w:hint="eastAsia"/>
          <w:sz w:val="24"/>
          <w:szCs w:val="24"/>
        </w:rPr>
        <w:t>OSM</w:t>
      </w:r>
      <w:r>
        <w:rPr>
          <w:rFonts w:ascii="Times New Roman" w:eastAsia="仿宋" w:hAnsi="Times New Roman" w:cs="Times New Roman" w:hint="eastAsia"/>
          <w:sz w:val="24"/>
          <w:szCs w:val="24"/>
        </w:rPr>
        <w:t>路网数据中提取研究范围内所有可通行机动车辆的道路路段，保留的道路功能等级包括高速公路</w:t>
      </w:r>
      <w:r>
        <w:rPr>
          <w:rFonts w:ascii="Times New Roman" w:eastAsia="仿宋" w:hAnsi="Times New Roman" w:cs="Times New Roman" w:hint="eastAsia"/>
          <w:sz w:val="24"/>
          <w:szCs w:val="24"/>
        </w:rPr>
        <w:t>(motorway)</w:t>
      </w:r>
      <w:r>
        <w:rPr>
          <w:rFonts w:ascii="Times New Roman" w:eastAsia="仿宋" w:hAnsi="Times New Roman" w:cs="Times New Roman" w:hint="eastAsia"/>
          <w:sz w:val="24"/>
          <w:szCs w:val="24"/>
        </w:rPr>
        <w:t>、快速路</w:t>
      </w:r>
      <w:r>
        <w:rPr>
          <w:rFonts w:ascii="Times New Roman" w:eastAsia="仿宋" w:hAnsi="Times New Roman" w:cs="Times New Roman" w:hint="eastAsia"/>
          <w:sz w:val="24"/>
          <w:szCs w:val="24"/>
        </w:rPr>
        <w:t>(trunk)</w:t>
      </w:r>
      <w:r>
        <w:rPr>
          <w:rFonts w:ascii="Times New Roman" w:eastAsia="仿宋" w:hAnsi="Times New Roman" w:cs="Times New Roman" w:hint="eastAsia"/>
          <w:sz w:val="24"/>
          <w:szCs w:val="24"/>
        </w:rPr>
        <w:t>、主干路</w:t>
      </w:r>
      <w:r>
        <w:rPr>
          <w:rFonts w:ascii="Times New Roman" w:eastAsia="仿宋" w:hAnsi="Times New Roman" w:cs="Times New Roman" w:hint="eastAsia"/>
          <w:sz w:val="24"/>
          <w:szCs w:val="24"/>
        </w:rPr>
        <w:t>(primary)</w:t>
      </w:r>
      <w:r>
        <w:rPr>
          <w:rFonts w:ascii="Times New Roman" w:eastAsia="仿宋" w:hAnsi="Times New Roman" w:cs="Times New Roman" w:hint="eastAsia"/>
          <w:sz w:val="24"/>
          <w:szCs w:val="24"/>
        </w:rPr>
        <w:t>、次干路</w:t>
      </w:r>
      <w:r>
        <w:rPr>
          <w:rFonts w:ascii="Times New Roman" w:eastAsia="仿宋" w:hAnsi="Times New Roman" w:cs="Times New Roman" w:hint="eastAsia"/>
          <w:sz w:val="24"/>
          <w:szCs w:val="24"/>
        </w:rPr>
        <w:t>(secondary)</w:t>
      </w:r>
      <w:r>
        <w:rPr>
          <w:rFonts w:ascii="Times New Roman" w:eastAsia="仿宋" w:hAnsi="Times New Roman" w:cs="Times New Roman" w:hint="eastAsia"/>
          <w:sz w:val="24"/>
          <w:szCs w:val="24"/>
        </w:rPr>
        <w:t>、支路</w:t>
      </w:r>
      <w:r>
        <w:rPr>
          <w:rFonts w:ascii="Times New Roman" w:eastAsia="仿宋" w:hAnsi="Times New Roman" w:cs="Times New Roman" w:hint="eastAsia"/>
          <w:sz w:val="24"/>
          <w:szCs w:val="24"/>
        </w:rPr>
        <w:t>(tertiary)</w:t>
      </w:r>
      <w:r>
        <w:rPr>
          <w:rFonts w:ascii="Times New Roman" w:eastAsia="仿宋" w:hAnsi="Times New Roman" w:cs="Times New Roman" w:hint="eastAsia"/>
          <w:sz w:val="24"/>
          <w:szCs w:val="24"/>
        </w:rPr>
        <w:t>及其匝道，以及住宅区道路</w:t>
      </w:r>
      <w:r>
        <w:rPr>
          <w:rFonts w:ascii="Times New Roman" w:eastAsia="仿宋" w:hAnsi="Times New Roman" w:cs="Times New Roman" w:hint="eastAsia"/>
          <w:sz w:val="24"/>
          <w:szCs w:val="24"/>
        </w:rPr>
        <w:t>(residential)</w:t>
      </w:r>
      <w:r>
        <w:rPr>
          <w:rFonts w:ascii="Times New Roman" w:eastAsia="仿宋" w:hAnsi="Times New Roman" w:cs="Times New Roman" w:hint="eastAsia"/>
          <w:sz w:val="24"/>
          <w:szCs w:val="24"/>
        </w:rPr>
        <w:t>和服务道路</w:t>
      </w:r>
      <w:r>
        <w:rPr>
          <w:rFonts w:ascii="Times New Roman" w:eastAsia="仿宋" w:hAnsi="Times New Roman" w:cs="Times New Roman" w:hint="eastAsia"/>
          <w:sz w:val="24"/>
          <w:szCs w:val="24"/>
        </w:rPr>
        <w:t>(service)</w:t>
      </w:r>
      <w:r>
        <w:rPr>
          <w:rFonts w:ascii="Times New Roman" w:eastAsia="仿宋" w:hAnsi="Times New Roman" w:cs="Times New Roman" w:hint="eastAsia"/>
          <w:sz w:val="24"/>
          <w:szCs w:val="24"/>
        </w:rPr>
        <w:t>等共</w:t>
      </w:r>
      <w:r>
        <w:rPr>
          <w:rFonts w:ascii="Times New Roman" w:eastAsia="仿宋" w:hAnsi="Times New Roman" w:cs="Times New Roman" w:hint="eastAsia"/>
          <w:sz w:val="24"/>
          <w:szCs w:val="24"/>
        </w:rPr>
        <w:t>14</w:t>
      </w:r>
      <w:r>
        <w:rPr>
          <w:rFonts w:ascii="Times New Roman" w:eastAsia="仿宋" w:hAnsi="Times New Roman" w:cs="Times New Roman" w:hint="eastAsia"/>
          <w:sz w:val="24"/>
          <w:szCs w:val="24"/>
        </w:rPr>
        <w:t>类。对</w:t>
      </w:r>
      <w:r>
        <w:rPr>
          <w:rFonts w:ascii="Times New Roman" w:eastAsia="仿宋" w:hAnsi="Times New Roman" w:cs="Times New Roman" w:hint="eastAsia"/>
          <w:sz w:val="24"/>
          <w:szCs w:val="24"/>
        </w:rPr>
        <w:t>OSM</w:t>
      </w:r>
      <w:r>
        <w:rPr>
          <w:rFonts w:ascii="Times New Roman" w:eastAsia="仿宋" w:hAnsi="Times New Roman" w:cs="Times New Roman" w:hint="eastAsia"/>
          <w:sz w:val="24"/>
          <w:szCs w:val="24"/>
        </w:rPr>
        <w:t>数据中限速值为零或缺失的路段，依据《城市道路工程设计规范》（</w:t>
      </w:r>
      <w:r>
        <w:rPr>
          <w:rFonts w:ascii="Times New Roman" w:eastAsia="仿宋" w:hAnsi="Times New Roman" w:cs="Times New Roman" w:hint="eastAsia"/>
          <w:sz w:val="24"/>
          <w:szCs w:val="24"/>
        </w:rPr>
        <w:t>CJJ 37</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2012</w:t>
      </w:r>
      <w:r>
        <w:rPr>
          <w:rFonts w:ascii="Times New Roman" w:eastAsia="仿宋" w:hAnsi="Times New Roman" w:cs="Times New Roman" w:hint="eastAsia"/>
          <w:sz w:val="24"/>
          <w:szCs w:val="24"/>
        </w:rPr>
        <w:t>）按功能等级赋默认值：高速公路</w:t>
      </w:r>
      <w:r>
        <w:rPr>
          <w:rFonts w:ascii="Times New Roman" w:eastAsia="仿宋" w:hAnsi="Times New Roman" w:cs="Times New Roman" w:hint="eastAsia"/>
          <w:sz w:val="24"/>
          <w:szCs w:val="24"/>
        </w:rPr>
        <w:t>100 km/h</w:t>
      </w:r>
      <w:r>
        <w:rPr>
          <w:rFonts w:ascii="Times New Roman" w:eastAsia="仿宋" w:hAnsi="Times New Roman" w:cs="Times New Roman" w:hint="eastAsia"/>
          <w:sz w:val="24"/>
          <w:szCs w:val="24"/>
        </w:rPr>
        <w:t>、快速路</w:t>
      </w:r>
      <w:r>
        <w:rPr>
          <w:rFonts w:ascii="Times New Roman" w:eastAsia="仿宋" w:hAnsi="Times New Roman" w:cs="Times New Roman" w:hint="eastAsia"/>
          <w:sz w:val="24"/>
          <w:szCs w:val="24"/>
        </w:rPr>
        <w:t>80 km/h</w:t>
      </w:r>
      <w:r>
        <w:rPr>
          <w:rFonts w:ascii="Times New Roman" w:eastAsia="仿宋" w:hAnsi="Times New Roman" w:cs="Times New Roman" w:hint="eastAsia"/>
          <w:sz w:val="24"/>
          <w:szCs w:val="24"/>
        </w:rPr>
        <w:t>、主干路</w:t>
      </w:r>
      <w:r>
        <w:rPr>
          <w:rFonts w:ascii="Times New Roman" w:eastAsia="仿宋" w:hAnsi="Times New Roman" w:cs="Times New Roman" w:hint="eastAsia"/>
          <w:sz w:val="24"/>
          <w:szCs w:val="24"/>
        </w:rPr>
        <w:t>60 km/h</w:t>
      </w:r>
      <w:r>
        <w:rPr>
          <w:rFonts w:ascii="Times New Roman" w:eastAsia="仿宋" w:hAnsi="Times New Roman" w:cs="Times New Roman" w:hint="eastAsia"/>
          <w:sz w:val="24"/>
          <w:szCs w:val="24"/>
        </w:rPr>
        <w:t>、次干路</w:t>
      </w:r>
      <w:r>
        <w:rPr>
          <w:rFonts w:ascii="Times New Roman" w:eastAsia="仿宋" w:hAnsi="Times New Roman" w:cs="Times New Roman" w:hint="eastAsia"/>
          <w:sz w:val="24"/>
          <w:szCs w:val="24"/>
        </w:rPr>
        <w:t>50 km/h</w:t>
      </w:r>
      <w:r>
        <w:rPr>
          <w:rFonts w:ascii="Times New Roman" w:eastAsia="仿宋" w:hAnsi="Times New Roman" w:cs="Times New Roman" w:hint="eastAsia"/>
          <w:sz w:val="24"/>
          <w:szCs w:val="24"/>
        </w:rPr>
        <w:t>、支路</w:t>
      </w:r>
      <w:r>
        <w:rPr>
          <w:rFonts w:ascii="Times New Roman" w:eastAsia="仿宋" w:hAnsi="Times New Roman" w:cs="Times New Roman" w:hint="eastAsia"/>
          <w:sz w:val="24"/>
          <w:szCs w:val="24"/>
        </w:rPr>
        <w:t>40 km/h</w:t>
      </w:r>
      <w:r>
        <w:rPr>
          <w:rFonts w:ascii="Times New Roman" w:eastAsia="仿宋" w:hAnsi="Times New Roman" w:cs="Times New Roman" w:hint="eastAsia"/>
          <w:sz w:val="24"/>
          <w:szCs w:val="24"/>
        </w:rPr>
        <w:t>、住宅区道路</w:t>
      </w:r>
      <w:r>
        <w:rPr>
          <w:rFonts w:ascii="Times New Roman" w:eastAsia="仿宋" w:hAnsi="Times New Roman" w:cs="Times New Roman" w:hint="eastAsia"/>
          <w:sz w:val="24"/>
          <w:szCs w:val="24"/>
        </w:rPr>
        <w:t>30 km/h</w:t>
      </w:r>
      <w:r>
        <w:rPr>
          <w:rFonts w:ascii="Times New Roman" w:eastAsia="仿宋" w:hAnsi="Times New Roman" w:cs="Times New Roman" w:hint="eastAsia"/>
          <w:sz w:val="24"/>
          <w:szCs w:val="24"/>
        </w:rPr>
        <w:t>、服务道路</w:t>
      </w:r>
      <w:r>
        <w:rPr>
          <w:rFonts w:ascii="Times New Roman" w:eastAsia="仿宋" w:hAnsi="Times New Roman" w:cs="Times New Roman" w:hint="eastAsia"/>
          <w:sz w:val="24"/>
          <w:szCs w:val="24"/>
        </w:rPr>
        <w:t>20 km/h</w:t>
      </w:r>
      <w:r>
        <w:rPr>
          <w:rFonts w:ascii="Times New Roman" w:eastAsia="仿宋" w:hAnsi="Times New Roman" w:cs="Times New Roman" w:hint="eastAsia"/>
          <w:sz w:val="24"/>
          <w:szCs w:val="24"/>
        </w:rPr>
        <w:t>。通行能力参照《公路通行能力手册》</w:t>
      </w:r>
      <w:r>
        <w:rPr>
          <w:rFonts w:ascii="Times New Roman" w:eastAsia="仿宋" w:hAnsi="Times New Roman" w:cs="Times New Roman" w:hint="eastAsia"/>
          <w:sz w:val="24"/>
          <w:szCs w:val="24"/>
        </w:rPr>
        <w:t>(HCM)</w:t>
      </w:r>
      <w:r>
        <w:rPr>
          <w:rFonts w:ascii="Times New Roman" w:eastAsia="仿宋" w:hAnsi="Times New Roman" w:cs="Times New Roman" w:hint="eastAsia"/>
          <w:sz w:val="24"/>
          <w:szCs w:val="24"/>
        </w:rPr>
        <w:t>，按车道数和等级赋值。</w:t>
      </w:r>
    </w:p>
    <w:p w14:paraId="7610C284"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以道路端点为节点、路段为边构建</w:t>
      </w:r>
      <w:r>
        <w:rPr>
          <w:rFonts w:ascii="Times New Roman" w:eastAsia="仿宋" w:hAnsi="Times New Roman" w:cs="Times New Roman" w:hint="eastAsia"/>
          <w:sz w:val="24"/>
          <w:szCs w:val="24"/>
        </w:rPr>
        <w:t>NetworkX</w:t>
      </w:r>
      <w:r>
        <w:rPr>
          <w:rFonts w:ascii="Times New Roman" w:eastAsia="仿宋" w:hAnsi="Times New Roman" w:cs="Times New Roman" w:hint="eastAsia"/>
          <w:sz w:val="24"/>
          <w:szCs w:val="24"/>
        </w:rPr>
        <w:t>有向图。单向道路仅保留正向边，双向道路同时添加正、反向边。每条边的属性包括路段长度（通过</w:t>
      </w:r>
      <w:r>
        <w:rPr>
          <w:rFonts w:ascii="Times New Roman" w:eastAsia="仿宋" w:hAnsi="Times New Roman" w:cs="Times New Roman" w:hint="eastAsia"/>
          <w:sz w:val="24"/>
          <w:szCs w:val="24"/>
        </w:rPr>
        <w:t>UTM</w:t>
      </w:r>
      <w:r>
        <w:rPr>
          <w:rFonts w:ascii="Times New Roman" w:eastAsia="仿宋" w:hAnsi="Times New Roman" w:cs="Times New Roman" w:hint="eastAsia"/>
          <w:sz w:val="24"/>
          <w:szCs w:val="24"/>
        </w:rPr>
        <w:t>投影后计算）、限速、自由流行程时间（路段长度</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限速）和通行能力。构建完成后进行连通性检查，保留最大弱连通分量以确保路径可达性。处理后的道路网络包含</w:t>
      </w:r>
      <w:r>
        <w:rPr>
          <w:rFonts w:ascii="Times New Roman" w:eastAsia="仿宋" w:hAnsi="Times New Roman" w:cs="Times New Roman" w:hint="eastAsia"/>
          <w:sz w:val="24"/>
          <w:szCs w:val="24"/>
        </w:rPr>
        <w:t>26,699</w:t>
      </w:r>
      <w:r>
        <w:rPr>
          <w:rFonts w:ascii="Times New Roman" w:eastAsia="仿宋" w:hAnsi="Times New Roman" w:cs="Times New Roman" w:hint="eastAsia"/>
          <w:sz w:val="24"/>
          <w:szCs w:val="24"/>
        </w:rPr>
        <w:t>条路段，总长</w:t>
      </w:r>
      <w:r>
        <w:rPr>
          <w:rFonts w:ascii="Times New Roman" w:eastAsia="仿宋" w:hAnsi="Times New Roman" w:cs="Times New Roman" w:hint="eastAsia"/>
          <w:sz w:val="24"/>
          <w:szCs w:val="24"/>
        </w:rPr>
        <w:t>11,232.1 km</w:t>
      </w:r>
      <w:r>
        <w:rPr>
          <w:rFonts w:ascii="Times New Roman" w:eastAsia="仿宋" w:hAnsi="Times New Roman" w:cs="Times New Roman" w:hint="eastAsia"/>
          <w:sz w:val="24"/>
          <w:szCs w:val="24"/>
        </w:rPr>
        <w:t>。</w:t>
      </w:r>
    </w:p>
    <w:p w14:paraId="7C034C0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2.3.3  </w:t>
      </w:r>
      <w:r>
        <w:rPr>
          <w:rFonts w:ascii="Times New Roman" w:eastAsia="仿宋" w:hAnsi="Times New Roman" w:cs="Times New Roman" w:hint="eastAsia"/>
          <w:b/>
          <w:bCs/>
          <w:color w:val="3B5AA2"/>
          <w:sz w:val="28"/>
          <w:szCs w:val="21"/>
        </w:rPr>
        <w:t>人口空间分配与脆弱性分级</w:t>
      </w:r>
    </w:p>
    <w:p w14:paraId="258946FF"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人口数据处理采用“自上而下”的空间分配策略：首先以百度</w:t>
      </w:r>
      <w:r>
        <w:rPr>
          <w:rFonts w:ascii="Times New Roman" w:eastAsia="仿宋" w:hAnsi="Times New Roman" w:cs="Times New Roman" w:hint="eastAsia"/>
          <w:sz w:val="24"/>
          <w:szCs w:val="24"/>
        </w:rPr>
        <w:t>LBS</w:t>
      </w:r>
      <w:r>
        <w:rPr>
          <w:rFonts w:ascii="Times New Roman" w:eastAsia="仿宋" w:hAnsi="Times New Roman" w:cs="Times New Roman" w:hint="eastAsia"/>
          <w:sz w:val="24"/>
          <w:szCs w:val="24"/>
        </w:rPr>
        <w:t>地块级常住人口数据提供各地块的人口总量，然后将第七次人口普查的区县级年龄结构比例向下分配至地块尺度。具体步骤为：（</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）将地块级人口数据裁剪至研究范围；（</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）通过空间连接（</w:t>
      </w:r>
      <w:r>
        <w:rPr>
          <w:rFonts w:ascii="Times New Roman" w:eastAsia="仿宋" w:hAnsi="Times New Roman" w:cs="Times New Roman" w:hint="eastAsia"/>
          <w:sz w:val="24"/>
          <w:szCs w:val="24"/>
        </w:rPr>
        <w:t>spatial join</w:t>
      </w:r>
      <w:r>
        <w:rPr>
          <w:rFonts w:ascii="Times New Roman" w:eastAsia="仿宋" w:hAnsi="Times New Roman" w:cs="Times New Roman" w:hint="eastAsia"/>
          <w:sz w:val="24"/>
          <w:szCs w:val="24"/>
        </w:rPr>
        <w:t>）判断每个地块所属区县；（</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）根据该区县的普查数据计算儿童（</w:t>
      </w:r>
      <w:r>
        <w:rPr>
          <w:rFonts w:ascii="Times New Roman" w:eastAsia="仿宋" w:hAnsi="Times New Roman" w:cs="Times New Roman" w:hint="eastAsia"/>
          <w:sz w:val="24"/>
          <w:szCs w:val="24"/>
        </w:rPr>
        <w:t>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14</w:t>
      </w:r>
      <w:r>
        <w:rPr>
          <w:rFonts w:ascii="Times New Roman" w:eastAsia="仿宋" w:hAnsi="Times New Roman" w:cs="Times New Roman" w:hint="eastAsia"/>
          <w:sz w:val="24"/>
          <w:szCs w:val="24"/>
        </w:rPr>
        <w:t>岁）、劳动力（</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59</w:t>
      </w:r>
      <w:r>
        <w:rPr>
          <w:rFonts w:ascii="Times New Roman" w:eastAsia="仿宋" w:hAnsi="Times New Roman" w:cs="Times New Roman" w:hint="eastAsia"/>
          <w:sz w:val="24"/>
          <w:szCs w:val="24"/>
        </w:rPr>
        <w:t>岁）和老年人（</w:t>
      </w:r>
      <w:r>
        <w:rPr>
          <w:rFonts w:ascii="Times New Roman" w:eastAsia="仿宋" w:hAnsi="Times New Roman" w:cs="Times New Roman" w:hint="eastAsia"/>
          <w:sz w:val="24"/>
          <w:szCs w:val="24"/>
        </w:rPr>
        <w:t>60</w:t>
      </w:r>
      <w:r>
        <w:rPr>
          <w:rFonts w:ascii="Times New Roman" w:eastAsia="仿宋" w:hAnsi="Times New Roman" w:cs="Times New Roman" w:hint="eastAsia"/>
          <w:sz w:val="24"/>
          <w:szCs w:val="24"/>
        </w:rPr>
        <w:t>岁及以上）占比；（</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）将比例乘以地块总人口，得到各年龄组的空间分布。依据研究区域所涉大兴区和通州区的普查数据，老年人口占比约为</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，儿童占比约为</w:t>
      </w:r>
      <w:r>
        <w:rPr>
          <w:rFonts w:ascii="Times New Roman" w:eastAsia="仿宋" w:hAnsi="Times New Roman" w:cs="Times New Roman" w:hint="eastAsia"/>
          <w:sz w:val="24"/>
          <w:szCs w:val="24"/>
        </w:rPr>
        <w:t>12%</w:t>
      </w:r>
      <w:r>
        <w:rPr>
          <w:rFonts w:ascii="Times New Roman" w:eastAsia="仿宋" w:hAnsi="Times New Roman" w:cs="Times New Roman" w:hint="eastAsia"/>
          <w:sz w:val="24"/>
          <w:szCs w:val="24"/>
        </w:rPr>
        <w:t>。</w:t>
      </w:r>
    </w:p>
    <w:p w14:paraId="1E756800"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在此基础上，将受影响人口划分为三类脆弱性等级：第一类（</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）为事故直接导致的重伤或中毒者，假设占受影响人口的</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；第二类（</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）为老人、儿童及残障人士等脆弱群体，约占</w:t>
      </w:r>
      <w:r>
        <w:rPr>
          <w:rFonts w:ascii="Times New Roman" w:eastAsia="仿宋" w:hAnsi="Times New Roman" w:cs="Times New Roman" w:hint="eastAsia"/>
          <w:sz w:val="24"/>
          <w:szCs w:val="24"/>
        </w:rPr>
        <w:t>27%</w:t>
      </w:r>
      <w:r>
        <w:rPr>
          <w:rFonts w:ascii="Times New Roman" w:eastAsia="仿宋" w:hAnsi="Times New Roman" w:cs="Times New Roman" w:hint="eastAsia"/>
          <w:sz w:val="24"/>
          <w:szCs w:val="24"/>
        </w:rPr>
        <w:t>；第三类（</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）为一般健康人员，占</w:t>
      </w:r>
      <w:r>
        <w:rPr>
          <w:rFonts w:ascii="Times New Roman" w:eastAsia="仿宋" w:hAnsi="Times New Roman" w:cs="Times New Roman" w:hint="eastAsia"/>
          <w:sz w:val="24"/>
          <w:szCs w:val="24"/>
        </w:rPr>
        <w:t>71%</w:t>
      </w:r>
      <w:r>
        <w:rPr>
          <w:rFonts w:ascii="Times New Roman" w:eastAsia="仿宋" w:hAnsi="Times New Roman" w:cs="Times New Roman" w:hint="eastAsia"/>
          <w:sz w:val="24"/>
          <w:szCs w:val="24"/>
        </w:rPr>
        <w:t>。该分类直接服务于后续疏散优化模型中的优先级调度。</w:t>
      </w:r>
    </w:p>
    <w:p w14:paraId="192386C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lastRenderedPageBreak/>
        <w:t xml:space="preserve">2.3.4  </w:t>
      </w:r>
      <w:r>
        <w:rPr>
          <w:rFonts w:ascii="Times New Roman" w:eastAsia="仿宋" w:hAnsi="Times New Roman" w:cs="Times New Roman" w:hint="eastAsia"/>
          <w:b/>
          <w:bCs/>
          <w:color w:val="3B5AA2"/>
          <w:sz w:val="28"/>
          <w:szCs w:val="21"/>
        </w:rPr>
        <w:t>应急设施识别与分类</w:t>
      </w:r>
    </w:p>
    <w:p w14:paraId="02F6D578"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基于</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数据筛选研究范围内的五类应急相关设施。医疗设施通过百度</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的医疗类别编码提取，进一步按名称关键词区分综合医院和专科医院，共计</w:t>
      </w:r>
      <w:r>
        <w:rPr>
          <w:rFonts w:ascii="Times New Roman" w:eastAsia="仿宋" w:hAnsi="Times New Roman" w:cs="Times New Roman" w:hint="eastAsia"/>
          <w:sz w:val="24"/>
          <w:szCs w:val="24"/>
        </w:rPr>
        <w:t>1,732</w:t>
      </w:r>
      <w:r>
        <w:rPr>
          <w:rFonts w:ascii="Times New Roman" w:eastAsia="仿宋" w:hAnsi="Times New Roman" w:cs="Times New Roman" w:hint="eastAsia"/>
          <w:sz w:val="24"/>
          <w:szCs w:val="24"/>
        </w:rPr>
        <w:t>处</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三甲</w:t>
      </w:r>
      <w:r>
        <w:rPr>
          <w:rFonts w:ascii="Times New Roman" w:eastAsia="仿宋" w:hAnsi="Times New Roman" w:cs="Times New Roman" w:hint="eastAsia"/>
          <w:sz w:val="24"/>
          <w:szCs w:val="24"/>
        </w:rPr>
        <w:t>180</w:t>
      </w:r>
      <w:r>
        <w:rPr>
          <w:rFonts w:ascii="Times New Roman" w:eastAsia="仿宋" w:hAnsi="Times New Roman" w:cs="Times New Roman" w:hint="eastAsia"/>
          <w:sz w:val="24"/>
          <w:szCs w:val="24"/>
        </w:rPr>
        <w:t>、基层</w:t>
      </w:r>
      <w:r>
        <w:rPr>
          <w:rFonts w:ascii="Times New Roman" w:eastAsia="仿宋" w:hAnsi="Times New Roman" w:cs="Times New Roman" w:hint="eastAsia"/>
          <w:sz w:val="24"/>
          <w:szCs w:val="24"/>
        </w:rPr>
        <w:t>769</w:t>
      </w:r>
      <w:r>
        <w:rPr>
          <w:rFonts w:ascii="Times New Roman" w:eastAsia="仿宋" w:hAnsi="Times New Roman" w:cs="Times New Roman" w:hint="eastAsia"/>
          <w:sz w:val="24"/>
          <w:szCs w:val="24"/>
        </w:rPr>
        <w:t>等</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基于小类精确匹配</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。消防站通过政府服务类</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筛选，共</w:t>
      </w:r>
      <w:r>
        <w:rPr>
          <w:rFonts w:ascii="Times New Roman" w:eastAsia="仿宋" w:hAnsi="Times New Roman" w:cs="Times New Roman" w:hint="eastAsia"/>
          <w:sz w:val="24"/>
          <w:szCs w:val="24"/>
        </w:rPr>
        <w:t>331</w:t>
      </w:r>
      <w:r>
        <w:rPr>
          <w:rFonts w:ascii="Times New Roman" w:eastAsia="仿宋" w:hAnsi="Times New Roman" w:cs="Times New Roman" w:hint="eastAsia"/>
          <w:sz w:val="24"/>
          <w:szCs w:val="24"/>
        </w:rPr>
        <w:t>个</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基于小类「消防机关」精确匹配</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。潜在避难场所从体育场馆、公园和广场类</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中提取，并依据占地面积估算容纳能力，共</w:t>
      </w:r>
      <w:r>
        <w:rPr>
          <w:rFonts w:ascii="Times New Roman" w:eastAsia="仿宋" w:hAnsi="Times New Roman" w:cs="Times New Roman" w:hint="eastAsia"/>
          <w:sz w:val="24"/>
          <w:szCs w:val="24"/>
        </w:rPr>
        <w:t>6,993</w:t>
      </w:r>
      <w:r>
        <w:rPr>
          <w:rFonts w:ascii="Times New Roman" w:eastAsia="仿宋" w:hAnsi="Times New Roman" w:cs="Times New Roman" w:hint="eastAsia"/>
          <w:sz w:val="24"/>
          <w:szCs w:val="24"/>
        </w:rPr>
        <w:t>处</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基于</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类小类精确匹配</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。地铁站出入口从交通设施类</w:t>
      </w:r>
      <w:r>
        <w:rPr>
          <w:rFonts w:ascii="Times New Roman" w:eastAsia="仿宋" w:hAnsi="Times New Roman" w:cs="Times New Roman" w:hint="eastAsia"/>
          <w:sz w:val="24"/>
          <w:szCs w:val="24"/>
        </w:rPr>
        <w:t>POI</w:t>
      </w:r>
      <w:r>
        <w:rPr>
          <w:rFonts w:ascii="Times New Roman" w:eastAsia="仿宋" w:hAnsi="Times New Roman" w:cs="Times New Roman" w:hint="eastAsia"/>
          <w:sz w:val="24"/>
          <w:szCs w:val="24"/>
        </w:rPr>
        <w:t>筛选并匹配至已知线路的站点序列，共</w:t>
      </w:r>
      <w:r>
        <w:rPr>
          <w:rFonts w:ascii="Times New Roman" w:eastAsia="仿宋" w:hAnsi="Times New Roman" w:cs="Times New Roman" w:hint="eastAsia"/>
          <w:sz w:val="24"/>
          <w:szCs w:val="24"/>
        </w:rPr>
        <w:t>243</w:t>
      </w:r>
      <w:r>
        <w:rPr>
          <w:rFonts w:ascii="Times New Roman" w:eastAsia="仿宋" w:hAnsi="Times New Roman" w:cs="Times New Roman" w:hint="eastAsia"/>
          <w:sz w:val="24"/>
          <w:szCs w:val="24"/>
        </w:rPr>
        <w:t>个</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基于小类「地铁站」精确匹配并去重</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。此外提取学校、幼儿园和养老机构等脆弱性敏感设施</w:t>
      </w:r>
      <w:r>
        <w:rPr>
          <w:rFonts w:ascii="Times New Roman" w:eastAsia="仿宋" w:hAnsi="Times New Roman" w:cs="Times New Roman" w:hint="eastAsia"/>
          <w:sz w:val="24"/>
          <w:szCs w:val="24"/>
        </w:rPr>
        <w:t>2,718</w:t>
      </w:r>
      <w:r>
        <w:rPr>
          <w:rFonts w:ascii="Times New Roman" w:eastAsia="仿宋" w:hAnsi="Times New Roman" w:cs="Times New Roman" w:hint="eastAsia"/>
          <w:sz w:val="24"/>
          <w:szCs w:val="24"/>
        </w:rPr>
        <w:t>处</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幼儿园</w:t>
      </w:r>
      <w:r>
        <w:rPr>
          <w:rFonts w:ascii="Times New Roman" w:eastAsia="仿宋" w:hAnsi="Times New Roman" w:cs="Times New Roman" w:hint="eastAsia"/>
          <w:sz w:val="24"/>
          <w:szCs w:val="24"/>
        </w:rPr>
        <w:t>1655</w:t>
      </w:r>
      <w:r>
        <w:rPr>
          <w:rFonts w:ascii="Times New Roman" w:eastAsia="仿宋" w:hAnsi="Times New Roman" w:cs="Times New Roman" w:hint="eastAsia"/>
          <w:sz w:val="24"/>
          <w:szCs w:val="24"/>
        </w:rPr>
        <w:t>、小学</w:t>
      </w:r>
      <w:r>
        <w:rPr>
          <w:rFonts w:ascii="Times New Roman" w:eastAsia="仿宋" w:hAnsi="Times New Roman" w:cs="Times New Roman" w:hint="eastAsia"/>
          <w:sz w:val="24"/>
          <w:szCs w:val="24"/>
        </w:rPr>
        <w:t>636</w:t>
      </w:r>
      <w:r>
        <w:rPr>
          <w:rFonts w:ascii="Times New Roman" w:eastAsia="仿宋" w:hAnsi="Times New Roman" w:cs="Times New Roman" w:hint="eastAsia"/>
          <w:sz w:val="24"/>
          <w:szCs w:val="24"/>
        </w:rPr>
        <w:t>、中学</w:t>
      </w:r>
      <w:r>
        <w:rPr>
          <w:rFonts w:ascii="Times New Roman" w:eastAsia="仿宋" w:hAnsi="Times New Roman" w:cs="Times New Roman" w:hint="eastAsia"/>
          <w:sz w:val="24"/>
          <w:szCs w:val="24"/>
        </w:rPr>
        <w:t>427)</w:t>
      </w:r>
      <w:r>
        <w:rPr>
          <w:rFonts w:ascii="Times New Roman" w:eastAsia="仿宋" w:hAnsi="Times New Roman" w:cs="Times New Roman" w:hint="eastAsia"/>
          <w:sz w:val="24"/>
          <w:szCs w:val="24"/>
        </w:rPr>
        <w:t>，用于事故场景中受影响设施的统计分析。</w:t>
      </w:r>
    </w:p>
    <w:p w14:paraId="52680727"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地铁网络数据来源于北京市地铁运营公司公开资料，包含亦庄线、亦庄</w:t>
      </w:r>
      <w:r>
        <w:rPr>
          <w:rFonts w:ascii="Times New Roman" w:eastAsia="仿宋" w:hAnsi="Times New Roman" w:cs="Times New Roman" w:hint="eastAsia"/>
          <w:sz w:val="24"/>
          <w:szCs w:val="24"/>
        </w:rPr>
        <w:t>T1</w:t>
      </w:r>
      <w:r>
        <w:rPr>
          <w:rFonts w:ascii="Times New Roman" w:eastAsia="仿宋" w:hAnsi="Times New Roman" w:cs="Times New Roman" w:hint="eastAsia"/>
          <w:sz w:val="24"/>
          <w:szCs w:val="24"/>
        </w:rPr>
        <w:t>线、</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号线和</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号线等线路的站点位置、线路走向和运营参数。</w:t>
      </w:r>
    </w:p>
    <w:p w14:paraId="7BE7439A"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2.3.5  </w:t>
      </w:r>
      <w:r>
        <w:rPr>
          <w:rFonts w:ascii="Times New Roman" w:eastAsia="仿宋" w:hAnsi="Times New Roman" w:cs="Times New Roman" w:hint="eastAsia"/>
          <w:b/>
          <w:bCs/>
          <w:color w:val="3B5AA2"/>
          <w:sz w:val="28"/>
          <w:szCs w:val="21"/>
        </w:rPr>
        <w:t>出行数据处理</w:t>
      </w:r>
    </w:p>
    <w:p w14:paraId="72195305" w14:textId="77777777" w:rsidR="006A5BF4" w:rsidRDefault="006A5BF4" w:rsidP="006A5BF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百度手机定位</w:t>
      </w:r>
      <w:r>
        <w:rPr>
          <w:rFonts w:ascii="Times New Roman" w:eastAsia="仿宋" w:hAnsi="Times New Roman" w:cs="Times New Roman" w:hint="eastAsia"/>
          <w:sz w:val="24"/>
          <w:szCs w:val="24"/>
        </w:rPr>
        <w:t>OD</w:t>
      </w:r>
      <w:r>
        <w:rPr>
          <w:rFonts w:ascii="Times New Roman" w:eastAsia="仿宋" w:hAnsi="Times New Roman" w:cs="Times New Roman" w:hint="eastAsia"/>
          <w:sz w:val="24"/>
          <w:szCs w:val="24"/>
        </w:rPr>
        <w:t>数据包含日尺度和小时尺度两种粒度。将百度手机定位数据进行坐标转换后，逐条判断起点或终点是否落入研究区域多边形内，保留至少有一端在研究范围内的记录。通勤数据采用相同策略处理。最终，研究范围内保留</w:t>
      </w:r>
      <w:r>
        <w:rPr>
          <w:rFonts w:ascii="Times New Roman" w:eastAsia="仿宋" w:hAnsi="Times New Roman" w:cs="Times New Roman" w:hint="eastAsia"/>
          <w:sz w:val="24"/>
          <w:szCs w:val="24"/>
        </w:rPr>
        <w:t>5,659</w:t>
      </w:r>
      <w:r>
        <w:rPr>
          <w:rFonts w:ascii="Times New Roman" w:eastAsia="仿宋" w:hAnsi="Times New Roman" w:cs="Times New Roman" w:hint="eastAsia"/>
          <w:sz w:val="24"/>
          <w:szCs w:val="24"/>
        </w:rPr>
        <w:t>万条日</w:t>
      </w:r>
      <w:r>
        <w:rPr>
          <w:rFonts w:ascii="Times New Roman" w:eastAsia="仿宋" w:hAnsi="Times New Roman" w:cs="Times New Roman" w:hint="eastAsia"/>
          <w:sz w:val="24"/>
          <w:szCs w:val="24"/>
        </w:rPr>
        <w:t>OD</w:t>
      </w:r>
      <w:r>
        <w:rPr>
          <w:rFonts w:ascii="Times New Roman" w:eastAsia="仿宋" w:hAnsi="Times New Roman" w:cs="Times New Roman" w:hint="eastAsia"/>
          <w:sz w:val="24"/>
          <w:szCs w:val="24"/>
        </w:rPr>
        <w:t>记录、</w:t>
      </w:r>
      <w:r>
        <w:rPr>
          <w:rFonts w:ascii="Times New Roman" w:eastAsia="仿宋" w:hAnsi="Times New Roman" w:cs="Times New Roman" w:hint="eastAsia"/>
          <w:sz w:val="24"/>
          <w:szCs w:val="24"/>
        </w:rPr>
        <w:t>6,909</w:t>
      </w:r>
      <w:r>
        <w:rPr>
          <w:rFonts w:ascii="Times New Roman" w:eastAsia="仿宋" w:hAnsi="Times New Roman" w:cs="Times New Roman" w:hint="eastAsia"/>
          <w:sz w:val="24"/>
          <w:szCs w:val="24"/>
        </w:rPr>
        <w:t>万条逐小时</w:t>
      </w:r>
      <w:r>
        <w:rPr>
          <w:rFonts w:ascii="Times New Roman" w:eastAsia="仿宋" w:hAnsi="Times New Roman" w:cs="Times New Roman" w:hint="eastAsia"/>
          <w:sz w:val="24"/>
          <w:szCs w:val="24"/>
        </w:rPr>
        <w:t>OD</w:t>
      </w:r>
      <w:r>
        <w:rPr>
          <w:rFonts w:ascii="Times New Roman" w:eastAsia="仿宋" w:hAnsi="Times New Roman" w:cs="Times New Roman" w:hint="eastAsia"/>
          <w:sz w:val="24"/>
          <w:szCs w:val="24"/>
        </w:rPr>
        <w:t>记录和</w:t>
      </w:r>
      <w:r>
        <w:rPr>
          <w:rFonts w:ascii="Times New Roman" w:eastAsia="仿宋" w:hAnsi="Times New Roman" w:cs="Times New Roman" w:hint="eastAsia"/>
          <w:sz w:val="24"/>
          <w:szCs w:val="24"/>
        </w:rPr>
        <w:t>311.8</w:t>
      </w:r>
      <w:r>
        <w:rPr>
          <w:rFonts w:ascii="Times New Roman" w:eastAsia="仿宋" w:hAnsi="Times New Roman" w:cs="Times New Roman" w:hint="eastAsia"/>
          <w:sz w:val="24"/>
          <w:szCs w:val="24"/>
        </w:rPr>
        <w:t>万条通勤流记录。通勤数据中的交通方式构成（驾车、地铁、公交、骑行、步行比例）用于估算疏散场景中私家车可用数量。</w:t>
      </w:r>
    </w:p>
    <w:p w14:paraId="5092CC32" w14:textId="77777777" w:rsidR="009B7346" w:rsidRPr="009B7346" w:rsidRDefault="009B7346" w:rsidP="009B7346">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2.4  </w:t>
      </w:r>
      <w:r>
        <w:rPr>
          <w:rFonts w:ascii="Times New Roman" w:eastAsia="仿宋" w:hAnsi="Times New Roman" w:cs="Times New Roman" w:hint="eastAsia"/>
          <w:color w:val="3B5AA2"/>
          <w:position w:val="16"/>
          <w:sz w:val="32"/>
        </w:rPr>
        <w:t>研究框架</w:t>
      </w:r>
    </w:p>
    <w:p w14:paraId="2AB06ADD"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本研究构建“场景驱动—双链协同—韧性评估”三层研究框架（如图</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技术路线图所示），在统一事故场景下实现应急物资配送与多类型人员疏散的联合优化。</w:t>
      </w:r>
    </w:p>
    <w:p w14:paraId="4D006BD0"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第一层（事故场景建模）：采用高斯烟羽模型模拟氯气泄漏的大气扩散过程，基于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毒性阈值划分三级危险区域，结合距离准则定义道路封闭区和</w:t>
      </w:r>
      <w:r>
        <w:rPr>
          <w:rFonts w:ascii="Times New Roman" w:eastAsia="仿宋" w:hAnsi="Times New Roman" w:cs="Times New Roman" w:hint="eastAsia"/>
          <w:sz w:val="24"/>
          <w:szCs w:val="24"/>
        </w:rPr>
        <w:t>BPR</w:t>
      </w:r>
      <w:r>
        <w:rPr>
          <w:rFonts w:ascii="Times New Roman" w:eastAsia="仿宋" w:hAnsi="Times New Roman" w:cs="Times New Roman" w:hint="eastAsia"/>
          <w:sz w:val="24"/>
          <w:szCs w:val="24"/>
        </w:rPr>
        <w:t>拥堵区，生成受损路网和受影响人口分布，为后续优化模型提供统一的输入条件。</w:t>
      </w:r>
    </w:p>
    <w:p w14:paraId="2434E800"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第二层（协同优化求解）：包含两条相互耦合的优化链路。物资配送链路（“向心流”）构建“供应点—中转站—需求点”三层物流网络，设计货车—无人机直送</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接</w:t>
      </w:r>
      <w:r>
        <w:rPr>
          <w:rFonts w:ascii="Times New Roman" w:eastAsia="仿宋" w:hAnsi="Times New Roman" w:cs="Times New Roman" w:hint="eastAsia"/>
          <w:sz w:val="24"/>
          <w:szCs w:val="24"/>
        </w:rPr>
        <w:lastRenderedPageBreak/>
        <w:t>力两种模式，以最小化加权</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和时间窗惩罚为目标，采用优先级贪心构造加</w:t>
      </w:r>
      <w:r>
        <w:rPr>
          <w:rFonts w:ascii="Times New Roman" w:eastAsia="仿宋" w:hAnsi="Times New Roman" w:cs="Times New Roman" w:hint="eastAsia"/>
          <w:sz w:val="24"/>
          <w:szCs w:val="24"/>
        </w:rPr>
        <w:t>2-opt</w:t>
      </w:r>
      <w:r>
        <w:rPr>
          <w:rFonts w:ascii="Times New Roman" w:eastAsia="仿宋" w:hAnsi="Times New Roman" w:cs="Times New Roman" w:hint="eastAsia"/>
          <w:sz w:val="24"/>
          <w:szCs w:val="24"/>
        </w:rPr>
        <w:t>局部搜索求解。人员疏散链路（“离心流”）建立风险感知的时间步进式调度模型，协调救护车、直升机、公交车、私家车和地铁五种交通方式，以最小化加权疏散时间、动态风险暴露和未服务需求惩罚为目标。两条链路共享受损道路网络，在资源竞争、时间耦合和空间交互三个维度上相互关联。</w:t>
      </w:r>
    </w:p>
    <w:p w14:paraId="1CB50EE2" w14:textId="77777777" w:rsidR="00BA69B8" w:rsidRDefault="009B7346" w:rsidP="006A5BF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第三层（韧性评估）：从结构韧性（路网损伤程度）、功能韧性（任务完成效率）和适应韧性（新技术改善能力）三个维度，综合评价交通系统在该复合灾害场景下的应急响应能力。</w:t>
      </w:r>
    </w:p>
    <w:p w14:paraId="6908C77F" w14:textId="77777777" w:rsidR="00F6048F" w:rsidRDefault="004E57E6" w:rsidP="00F6048F">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7FF05F0B" wp14:editId="437B1FAF">
            <wp:extent cx="5731510" cy="2017395"/>
            <wp:effectExtent l="0" t="0" r="0" b="1905"/>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7"/>
                    <a:stretch>
                      <a:fillRect/>
                    </a:stretch>
                  </pic:blipFill>
                  <pic:spPr>
                    <a:xfrm>
                      <a:off x="0" y="0"/>
                      <a:ext cx="5731510" cy="2017395"/>
                    </a:xfrm>
                    <a:prstGeom prst="rect">
                      <a:avLst/>
                    </a:prstGeom>
                  </pic:spPr>
                </pic:pic>
              </a:graphicData>
            </a:graphic>
          </wp:inline>
        </w:drawing>
      </w:r>
    </w:p>
    <w:p w14:paraId="10DA3359" w14:textId="77777777" w:rsidR="00F6048F" w:rsidRPr="00F6048F" w:rsidRDefault="00F6048F" w:rsidP="00F6048F">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w:t>
      </w:r>
      <w:r>
        <w:rPr>
          <w:rFonts w:ascii="Times New Roman" w:eastAsia="仿宋" w:hAnsi="Times New Roman" w:cs="Times New Roman"/>
          <w:sz w:val="24"/>
          <w:szCs w:val="24"/>
        </w:rPr>
        <w:t>应急协同响应技术路线：场景驱动</w:t>
      </w:r>
      <w:r>
        <w:rPr>
          <w:rFonts w:ascii="Times New Roman" w:eastAsia="仿宋" w:hAnsi="Times New Roman" w:cs="Times New Roman"/>
          <w:sz w:val="24"/>
          <w:szCs w:val="24"/>
        </w:rPr>
        <w:t>—</w:t>
      </w:r>
      <w:r>
        <w:rPr>
          <w:rFonts w:ascii="Times New Roman" w:eastAsia="仿宋" w:hAnsi="Times New Roman" w:cs="Times New Roman"/>
          <w:sz w:val="24"/>
          <w:szCs w:val="24"/>
        </w:rPr>
        <w:t>双链协同</w:t>
      </w:r>
      <w:r>
        <w:rPr>
          <w:rFonts w:ascii="Times New Roman" w:eastAsia="仿宋" w:hAnsi="Times New Roman" w:cs="Times New Roman"/>
          <w:sz w:val="24"/>
          <w:szCs w:val="24"/>
        </w:rPr>
        <w:t>—</w:t>
      </w:r>
      <w:r>
        <w:rPr>
          <w:rFonts w:ascii="Times New Roman" w:eastAsia="仿宋" w:hAnsi="Times New Roman" w:cs="Times New Roman"/>
          <w:sz w:val="24"/>
          <w:szCs w:val="24"/>
        </w:rPr>
        <w:t>韧性评估三层框架。</w:t>
      </w:r>
    </w:p>
    <w:p w14:paraId="1DF09980" w14:textId="77777777" w:rsidR="00BA69B8" w:rsidRPr="006A5BF4" w:rsidRDefault="00F6048F" w:rsidP="00BA69B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Fig.</w:t>
      </w: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Technical roadmap of the coordinated emergency response framework.</w:t>
      </w:r>
    </w:p>
    <w:p w14:paraId="323D97DF" w14:textId="77777777" w:rsidR="0074007C" w:rsidRPr="0074007C" w:rsidRDefault="00000000" w:rsidP="0074007C">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3</w:t>
      </w:r>
      <w:r>
        <w:rPr>
          <w:rFonts w:ascii="Times New Roman" w:eastAsia="仿宋" w:hAnsi="Times New Roman" w:cs="Times New Roman" w:hint="eastAsia"/>
          <w:color w:val="3B5AA2"/>
          <w:position w:val="16"/>
          <w:sz w:val="32"/>
          <w:szCs w:val="24"/>
        </w:rPr>
        <w:t xml:space="preserve">  </w:t>
      </w:r>
      <w:r>
        <w:rPr>
          <w:rFonts w:ascii="Times New Roman" w:eastAsia="仿宋" w:hAnsi="Times New Roman" w:cs="Times New Roman" w:hint="eastAsia"/>
          <w:color w:val="3B5AA2"/>
          <w:position w:val="16"/>
          <w:sz w:val="32"/>
          <w:szCs w:val="24"/>
        </w:rPr>
        <w:t>方法论</w:t>
      </w:r>
    </w:p>
    <w:p w14:paraId="7FF80DB7" w14:textId="77777777" w:rsidR="00EB0048" w:rsidRPr="0074007C" w:rsidRDefault="0074007C" w:rsidP="0074007C">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3.1 </w:t>
      </w:r>
      <w:r>
        <w:rPr>
          <w:rFonts w:ascii="Times New Roman" w:eastAsia="仿宋" w:hAnsi="Times New Roman" w:cs="Times New Roman" w:hint="eastAsia"/>
          <w:color w:val="3B5AA2"/>
          <w:position w:val="16"/>
          <w:sz w:val="32"/>
        </w:rPr>
        <w:t>事故场景建模</w:t>
      </w:r>
    </w:p>
    <w:p w14:paraId="6A331F29" w14:textId="77777777" w:rsidR="00EB0048" w:rsidRPr="0074007C" w:rsidRDefault="00000000"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3.1</w:t>
      </w:r>
      <w:r>
        <w:rPr>
          <w:rFonts w:ascii="Times New Roman" w:eastAsia="仿宋" w:hAnsi="Times New Roman" w:cs="Times New Roman" w:hint="eastAsia"/>
          <w:b/>
          <w:bCs/>
          <w:color w:val="3B5AA2"/>
          <w:sz w:val="28"/>
          <w:szCs w:val="21"/>
        </w:rPr>
        <w:t>.1</w:t>
      </w:r>
      <w:r>
        <w:rPr>
          <w:rFonts w:ascii="Times New Roman" w:eastAsia="仿宋" w:hAnsi="Times New Roman" w:cs="Times New Roman"/>
          <w:b/>
          <w:bCs/>
          <w:color w:val="3B5AA2"/>
          <w:sz w:val="28"/>
          <w:szCs w:val="21"/>
        </w:rPr>
        <w:t xml:space="preserve"> </w:t>
      </w:r>
      <w:r>
        <w:rPr>
          <w:rFonts w:ascii="Times New Roman" w:eastAsia="仿宋" w:hAnsi="Times New Roman" w:cs="Times New Roman"/>
          <w:b/>
          <w:bCs/>
          <w:color w:val="3B5AA2"/>
          <w:sz w:val="28"/>
          <w:szCs w:val="21"/>
        </w:rPr>
        <w:t>高斯烟羽扩散模型</w:t>
      </w:r>
    </w:p>
    <w:p w14:paraId="463F677F" w14:textId="77777777"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泄漏氯气的大气扩散采用高斯烟羽方程建模</w:t>
      </w:r>
      <w:bookmarkStart w:id="43" w:name="OLE_LINK121"/>
      <w:bookmarkStart w:id="44" w:name="OLE_LINK122"/>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r>
      <w:bookmarkEnd w:id="43"/>
      <w:bookmarkEnd w:id="44"/>
      <w:r>
        <w:rPr>
          <w:rFonts w:ascii="Times New Roman" w:eastAsia="仿宋" w:hAnsi="Times New Roman" w:cs="Times New Roman" w:hint="eastAsia"/>
          <w:sz w:val="24"/>
          <w:szCs w:val="24"/>
        </w:rPr>
        <w:t>。地面（</w:t>
      </w:r>
      <w:r>
        <w:rPr>
          <w:rFonts w:ascii="Times New Roman" w:eastAsia="仿宋" w:hAnsi="Times New Roman" w:cs="Times New Roman" w:hint="eastAsia"/>
          <w:sz w:val="24"/>
          <w:szCs w:val="24"/>
        </w:rPr>
        <w:t>z=0</w:t>
      </w:r>
      <w:r>
        <w:rPr>
          <w:rFonts w:ascii="Times New Roman" w:eastAsia="仿宋" w:hAnsi="Times New Roman" w:cs="Times New Roman" w:hint="eastAsia"/>
          <w:sz w:val="24"/>
          <w:szCs w:val="24"/>
        </w:rPr>
        <w:t>）处下风向距离</w:t>
      </w:r>
      <w:r>
        <w:rPr>
          <w:rFonts w:ascii="Times New Roman" w:eastAsia="仿宋" w:hAnsi="Times New Roman" w:cs="Times New Roman" w:hint="eastAsia"/>
          <w:sz w:val="24"/>
          <w:szCs w:val="24"/>
        </w:rPr>
        <w:t>x</w:t>
      </w:r>
      <w:r>
        <w:rPr>
          <w:rFonts w:ascii="Times New Roman" w:eastAsia="仿宋" w:hAnsi="Times New Roman" w:cs="Times New Roman" w:hint="eastAsia"/>
          <w:sz w:val="24"/>
          <w:szCs w:val="24"/>
        </w:rPr>
        <w:t>、横风向距离</w:t>
      </w:r>
      <w:r>
        <w:rPr>
          <w:rFonts w:ascii="Times New Roman" w:eastAsia="仿宋" w:hAnsi="Times New Roman" w:cs="Times New Roman" w:hint="eastAsia"/>
          <w:sz w:val="24"/>
          <w:szCs w:val="24"/>
        </w:rPr>
        <w:t>y</w:t>
      </w:r>
      <w:r>
        <w:rPr>
          <w:rFonts w:ascii="Times New Roman" w:eastAsia="仿宋" w:hAnsi="Times New Roman" w:cs="Times New Roman" w:hint="eastAsia"/>
          <w:sz w:val="24"/>
          <w:szCs w:val="24"/>
        </w:rPr>
        <w:t>处的浓度</w:t>
      </w:r>
      <w:r>
        <w:rPr>
          <w:rFonts w:ascii="Times New Roman" w:eastAsia="仿宋" w:hAnsi="Times New Roman" w:cs="Times New Roman" w:hint="eastAsia"/>
          <w:sz w:val="24"/>
          <w:szCs w:val="24"/>
        </w:rPr>
        <w:t>C(x,y)</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mg/m</w:t>
      </w:r>
      <w:r>
        <w:rPr>
          <w:rFonts w:ascii="Calibri" w:eastAsia="仿宋" w:hAnsi="Calibri" w:cs="Calibri"/>
          <w:sz w:val="24"/>
          <w:szCs w:val="24"/>
        </w:rPr>
        <w:t>³</w:t>
      </w:r>
      <w:r>
        <w:rPr>
          <w:rFonts w:ascii="Times New Roman" w:eastAsia="仿宋" w:hAnsi="Times New Roman" w:cs="Times New Roman" w:hint="eastAsia"/>
          <w:sz w:val="24"/>
          <w:szCs w:val="24"/>
        </w:rPr>
        <w:t>）为：</w:t>
      </w:r>
    </w:p>
    <w:p w14:paraId="097259CB" w14:textId="535E8659" w:rsidR="00DF3152" w:rsidRPr="00187076" w:rsidRDefault="00DF3152" w:rsidP="00DF3152">
      <w:pPr>
        <w:spacing w:beforeLines="50" w:before="120" w:after="100" w:line="360" w:lineRule="auto"/>
        <w:ind w:firstLineChars="200" w:firstLine="480"/>
        <w:jc w:val="center"/>
        <w:rPr>
          <w:rFonts w:ascii="Times New Roman" w:eastAsia="仿宋" w:hAnsi="Times New Roman" w:cs="Times New Roman"/>
          <w:sz w:val="24"/>
          <w:szCs w:val="24"/>
        </w:rPr>
      </w:pPr>
      <w:r w:rsidRPr="00187076">
        <w:rPr>
          <w:rFonts w:ascii="Times New Roman" w:eastAsia="仿宋" w:hAnsi="Times New Roman" w:cs="Times New Roman"/>
          <w:sz w:val="24"/>
          <w:szCs w:val="24"/>
        </w:rPr>
        <w:t>C(</w:t>
      </w:r>
      <w:proofErr w:type="gramStart"/>
      <w:r w:rsidRPr="00187076">
        <w:rPr>
          <w:rFonts w:ascii="Times New Roman" w:eastAsia="仿宋" w:hAnsi="Times New Roman" w:cs="Times New Roman"/>
          <w:sz w:val="24"/>
          <w:szCs w:val="24"/>
        </w:rPr>
        <w:t>x,y</w:t>
      </w:r>
      <w:proofErr w:type="gramEnd"/>
      <w:r w:rsidRPr="00187076">
        <w:rPr>
          <w:rFonts w:ascii="Times New Roman" w:eastAsia="仿宋" w:hAnsi="Times New Roman" w:cs="Times New Roman"/>
          <w:sz w:val="24"/>
          <w:szCs w:val="24"/>
        </w:rPr>
        <w:t>) = Q/(2πuσyσz) · exp(−y²/2σy²) · [exp(−(z−H)²/2σz²) + exp(−(</w:t>
      </w:r>
      <w:proofErr w:type="spellStart"/>
      <w:r w:rsidRPr="00187076">
        <w:rPr>
          <w:rFonts w:ascii="Times New Roman" w:eastAsia="仿宋" w:hAnsi="Times New Roman" w:cs="Times New Roman"/>
          <w:sz w:val="24"/>
          <w:szCs w:val="24"/>
        </w:rPr>
        <w:t>z+H</w:t>
      </w:r>
      <w:proofErr w:type="spellEnd"/>
      <w:r w:rsidRPr="00187076">
        <w:rPr>
          <w:rFonts w:ascii="Times New Roman" w:eastAsia="仿宋" w:hAnsi="Times New Roman" w:cs="Times New Roman"/>
          <w:sz w:val="24"/>
          <w:szCs w:val="24"/>
        </w:rPr>
        <w:t>)²/2σz²)]       (1)</w:t>
      </w:r>
    </w:p>
    <w:p w14:paraId="1CF64A78" w14:textId="46814EE2" w:rsidR="00DF3152" w:rsidRPr="00DF3152" w:rsidRDefault="00000000" w:rsidP="00187076">
      <w:pPr>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其中</w:t>
      </w:r>
      <w:r>
        <w:rPr>
          <w:rFonts w:ascii="Times New Roman" w:eastAsia="仿宋" w:hAnsi="Times New Roman" w:cs="Times New Roman"/>
          <w:sz w:val="24"/>
          <w:szCs w:val="24"/>
        </w:rPr>
        <w:t>Q</w:t>
      </w:r>
      <w:r>
        <w:rPr>
          <w:rFonts w:ascii="Times New Roman" w:eastAsia="仿宋" w:hAnsi="Times New Roman" w:cs="Times New Roman"/>
          <w:sz w:val="24"/>
          <w:szCs w:val="24"/>
        </w:rPr>
        <w:t>为排放速率（</w:t>
      </w:r>
      <w:r>
        <w:rPr>
          <w:rFonts w:ascii="Times New Roman" w:eastAsia="仿宋" w:hAnsi="Times New Roman" w:cs="Times New Roman"/>
          <w:sz w:val="24"/>
          <w:szCs w:val="24"/>
        </w:rPr>
        <w:t>mg/s</w:t>
      </w:r>
      <w:r>
        <w:rPr>
          <w:rFonts w:ascii="Times New Roman" w:eastAsia="仿宋" w:hAnsi="Times New Roman" w:cs="Times New Roman"/>
          <w:sz w:val="24"/>
          <w:szCs w:val="24"/>
        </w:rPr>
        <w:t>），</w:t>
      </w:r>
      <w:r>
        <w:rPr>
          <w:rFonts w:ascii="Times New Roman" w:eastAsia="仿宋" w:hAnsi="Times New Roman" w:cs="Times New Roman"/>
          <w:sz w:val="24"/>
          <w:szCs w:val="24"/>
        </w:rPr>
        <w:t>u</w:t>
      </w:r>
      <w:r>
        <w:rPr>
          <w:rFonts w:ascii="Times New Roman" w:eastAsia="仿宋" w:hAnsi="Times New Roman" w:cs="Times New Roman"/>
          <w:sz w:val="24"/>
          <w:szCs w:val="24"/>
        </w:rPr>
        <w:t>为风速（</w:t>
      </w:r>
      <w:r>
        <w:rPr>
          <w:rFonts w:ascii="Times New Roman" w:eastAsia="仿宋" w:hAnsi="Times New Roman" w:cs="Times New Roman"/>
          <w:sz w:val="24"/>
          <w:szCs w:val="24"/>
        </w:rPr>
        <w:t>m/s</w:t>
      </w:r>
      <w:r>
        <w:rPr>
          <w:rFonts w:ascii="Times New Roman" w:eastAsia="仿宋" w:hAnsi="Times New Roman" w:cs="Times New Roman"/>
          <w:sz w:val="24"/>
          <w:szCs w:val="24"/>
        </w:rPr>
        <w:t>），</w:t>
      </w:r>
      <w:r>
        <w:rPr>
          <w:rFonts w:ascii="Times New Roman" w:eastAsia="仿宋" w:hAnsi="Times New Roman" w:cs="Times New Roman"/>
          <w:sz w:val="24"/>
          <w:szCs w:val="24"/>
        </w:rPr>
        <w:t>H</w:t>
      </w:r>
      <w:r>
        <w:rPr>
          <w:rFonts w:ascii="Times New Roman" w:eastAsia="仿宋" w:hAnsi="Times New Roman" w:cs="Times New Roman"/>
          <w:sz w:val="24"/>
          <w:szCs w:val="24"/>
        </w:rPr>
        <w:t>为有效释放高度（</w:t>
      </w:r>
      <w:r>
        <w:rPr>
          <w:rFonts w:ascii="Times New Roman" w:eastAsia="仿宋" w:hAnsi="Times New Roman" w:cs="Times New Roman"/>
          <w:sz w:val="24"/>
          <w:szCs w:val="24"/>
        </w:rPr>
        <w:t>m</w:t>
      </w:r>
      <w:r>
        <w:rPr>
          <w:rFonts w:ascii="Times New Roman" w:eastAsia="仿宋" w:hAnsi="Times New Roman" w:cs="Times New Roman"/>
          <w:sz w:val="24"/>
          <w:szCs w:val="24"/>
        </w:rPr>
        <w:t>），</w:t>
      </w:r>
      <w:r>
        <w:rPr>
          <w:rFonts w:ascii="Times New Roman" w:eastAsia="仿宋" w:hAnsi="Times New Roman" w:cs="Times New Roman"/>
          <w:sz w:val="24"/>
          <w:szCs w:val="24"/>
        </w:rPr>
        <w:t>z</w:t>
      </w:r>
      <w:r>
        <w:rPr>
          <w:rFonts w:ascii="Times New Roman" w:eastAsia="仿宋" w:hAnsi="Times New Roman" w:cs="Times New Roman"/>
          <w:sz w:val="24"/>
          <w:szCs w:val="24"/>
        </w:rPr>
        <w:t>为受体点高度（地面</w:t>
      </w:r>
      <w:r>
        <w:rPr>
          <w:rFonts w:ascii="Times New Roman" w:eastAsia="仿宋" w:hAnsi="Times New Roman" w:cs="Times New Roman"/>
          <w:sz w:val="24"/>
          <w:szCs w:val="24"/>
        </w:rPr>
        <w:t>z=0</w:t>
      </w:r>
      <w:r>
        <w:rPr>
          <w:rFonts w:ascii="Times New Roman" w:eastAsia="仿宋" w:hAnsi="Times New Roman" w:cs="Times New Roman"/>
          <w:sz w:val="24"/>
          <w:szCs w:val="24"/>
        </w:rPr>
        <w:t>时两项合并为</w:t>
      </w:r>
      <w:r>
        <w:rPr>
          <w:rFonts w:ascii="Times New Roman" w:eastAsia="仿宋" w:hAnsi="Times New Roman" w:cs="Times New Roman"/>
          <w:sz w:val="24"/>
          <w:szCs w:val="24"/>
        </w:rPr>
        <w:t>2exp(−H²/2σz²)</w:t>
      </w:r>
      <w:r>
        <w:rPr>
          <w:rFonts w:ascii="Times New Roman" w:eastAsia="仿宋" w:hAnsi="Times New Roman" w:cs="Times New Roman"/>
          <w:sz w:val="24"/>
          <w:szCs w:val="24"/>
        </w:rPr>
        <w:t>）。扩散系数采用</w:t>
      </w:r>
      <w:r>
        <w:rPr>
          <w:rFonts w:ascii="Times New Roman" w:eastAsia="仿宋" w:hAnsi="Times New Roman" w:cs="Times New Roman"/>
          <w:sz w:val="24"/>
          <w:szCs w:val="24"/>
        </w:rPr>
        <w:t>Briggs</w:t>
      </w:r>
      <w:r>
        <w:rPr>
          <w:rFonts w:ascii="Times New Roman" w:eastAsia="仿宋" w:hAnsi="Times New Roman" w:cs="Times New Roman"/>
          <w:sz w:val="24"/>
          <w:szCs w:val="24"/>
        </w:rPr>
        <w:t>城市条件经</w:t>
      </w:r>
      <w:r>
        <w:rPr>
          <w:rFonts w:ascii="Times New Roman" w:eastAsia="仿宋" w:hAnsi="Times New Roman" w:cs="Times New Roman"/>
          <w:sz w:val="24"/>
          <w:szCs w:val="24"/>
        </w:rPr>
        <w:lastRenderedPageBreak/>
        <w:t>验公式</w:t>
      </w:r>
      <w:bookmarkStart w:id="45" w:name="OLE_LINK123"/>
      <w:bookmarkStart w:id="46" w:name="OLE_LINK124"/>
      <w:r w:rsidR="00DF3152">
        <w:rPr>
          <w:rFonts w:ascii="Times New Roman" w:eastAsia="仿宋" w:hAnsi="Times New Roman" w:cs="Times New Roman" w:hint="eastAsia"/>
          <w:sz w:val="24"/>
          <w:szCs w:val="24"/>
        </w:rPr>
        <w:t xml:space="preserve"> </w:t>
      </w:r>
      <w:r w:rsidR="00DF3152">
        <w:rPr>
          <w:rFonts w:ascii="Times New Roman" w:eastAsia="仿宋" w:hAnsi="Times New Roman" w:cs="Times New Roman"/>
          <w:sz w:val="24"/>
          <w:szCs w:val="24"/>
        </w:rPr>
        <w:fldChar w:fldCharType="begin"/>
      </w:r>
      <w:r w:rsidR="00DF3152">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DF3152">
        <w:rPr>
          <w:rFonts w:ascii="Times New Roman" w:eastAsia="仿宋" w:hAnsi="Times New Roman" w:cs="Times New Roman"/>
          <w:sz w:val="24"/>
          <w:szCs w:val="24"/>
        </w:rPr>
        <w:fldChar w:fldCharType="separate"/>
      </w:r>
      <w:r w:rsidR="00DF3152">
        <w:rPr>
          <w:rFonts w:ascii="Times New Roman" w:eastAsia="仿宋" w:hAnsi="Times New Roman" w:cs="Times New Roman"/>
          <w:noProof/>
          <w:sz w:val="24"/>
          <w:szCs w:val="24"/>
          <w:vertAlign w:val="superscript"/>
        </w:rPr>
        <w:t>[16]</w:t>
      </w:r>
      <w:r w:rsidR="00DF3152">
        <w:rPr>
          <w:rFonts w:ascii="Times New Roman" w:eastAsia="仿宋" w:hAnsi="Times New Roman" w:cs="Times New Roman"/>
          <w:sz w:val="24"/>
          <w:szCs w:val="24"/>
        </w:rPr>
        <w:fldChar w:fldCharType="end"/>
      </w:r>
      <w:bookmarkEnd w:id="45"/>
      <w:bookmarkEnd w:id="46"/>
      <w:r w:rsidR="00DF3152">
        <w:rPr>
          <w:rFonts w:ascii="Times New Roman" w:eastAsia="仿宋" w:hAnsi="Times New Roman" w:cs="Times New Roman" w:hint="eastAsia"/>
          <w:sz w:val="24"/>
          <w:szCs w:val="24"/>
        </w:rPr>
        <w:t>，</w:t>
      </w:r>
      <w:r w:rsidR="00DF3152">
        <w:rPr>
          <w:rFonts w:ascii="Times New Roman" w:eastAsia="仿宋" w:hAnsi="Times New Roman" w:cs="Times New Roman" w:hint="eastAsia"/>
          <w:sz w:val="24"/>
          <w:szCs w:val="24"/>
        </w:rPr>
        <w:t>D</w:t>
      </w:r>
      <w:r w:rsidR="00DF3152">
        <w:rPr>
          <w:rFonts w:ascii="Times New Roman" w:eastAsia="仿宋" w:hAnsi="Times New Roman" w:cs="Times New Roman" w:hint="eastAsia"/>
          <w:sz w:val="24"/>
          <w:szCs w:val="24"/>
        </w:rPr>
        <w:t>级（中性）稳定度下：</w:t>
      </w:r>
    </w:p>
    <w:p w14:paraId="2F939F29" w14:textId="77777777" w:rsidR="00DF3152" w:rsidRPr="00187076" w:rsidRDefault="00DF3152" w:rsidP="00DF3152">
      <w:pPr>
        <w:spacing w:beforeLines="50" w:before="120" w:after="100" w:line="360" w:lineRule="auto"/>
        <w:ind w:firstLineChars="200" w:firstLine="480"/>
        <w:jc w:val="center"/>
        <w:rPr>
          <w:rFonts w:ascii="Times New Roman" w:eastAsia="仿宋" w:hAnsi="Times New Roman" w:cs="Times New Roman"/>
          <w:sz w:val="24"/>
          <w:szCs w:val="24"/>
        </w:rPr>
      </w:pPr>
      <w:r w:rsidRPr="00187076">
        <w:rPr>
          <w:rFonts w:ascii="Times New Roman" w:eastAsia="仿宋" w:hAnsi="Times New Roman" w:cs="Times New Roman"/>
          <w:sz w:val="24"/>
          <w:szCs w:val="24"/>
        </w:rPr>
        <w:t>σy = 0.11x/(1+0.0004</w:t>
      </w:r>
      <w:proofErr w:type="gramStart"/>
      <w:r w:rsidRPr="00187076">
        <w:rPr>
          <w:rFonts w:ascii="Times New Roman" w:eastAsia="仿宋" w:hAnsi="Times New Roman" w:cs="Times New Roman"/>
          <w:sz w:val="24"/>
          <w:szCs w:val="24"/>
        </w:rPr>
        <w:t>x)¹</w:t>
      </w:r>
      <w:proofErr w:type="gramEnd"/>
      <w:r w:rsidRPr="00187076">
        <w:rPr>
          <w:rFonts w:ascii="Times New Roman" w:eastAsia="仿宋" w:hAnsi="Times New Roman" w:cs="Times New Roman"/>
          <w:sz w:val="24"/>
          <w:szCs w:val="24"/>
        </w:rPr>
        <w:t>·⁰⁵ ,   σz = 0.08x/(1+0.0015x)¹·⁰⁵          (2)</w:t>
      </w:r>
    </w:p>
    <w:p w14:paraId="4D4DAFE6" w14:textId="77777777" w:rsidR="00EB0048" w:rsidRDefault="00DF3152" w:rsidP="003F1BA2">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计算时将网格点坐标旋转至风向坐标系后逐点求解。</w:t>
      </w:r>
      <w:r>
        <w:rPr>
          <w:rFonts w:ascii="Times New Roman" w:eastAsia="仿宋" w:hAnsi="Times New Roman" w:cs="Times New Roman"/>
          <w:sz w:val="24"/>
          <w:szCs w:val="24"/>
        </w:rPr>
        <w:t>事故场景参数配置如表</w:t>
      </w:r>
      <w:r>
        <w:rPr>
          <w:rFonts w:ascii="Times New Roman" w:eastAsia="仿宋" w:hAnsi="Times New Roman" w:cs="Times New Roman"/>
          <w:sz w:val="24"/>
          <w:szCs w:val="24"/>
        </w:rPr>
        <w:t>2</w:t>
      </w:r>
      <w:r>
        <w:rPr>
          <w:rFonts w:ascii="Times New Roman" w:eastAsia="仿宋" w:hAnsi="Times New Roman" w:cs="Times New Roman"/>
          <w:sz w:val="24"/>
          <w:szCs w:val="24"/>
        </w:rPr>
        <w:t>所示。</w:t>
      </w:r>
    </w:p>
    <w:p w14:paraId="3861F9C0"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2 </w:t>
      </w:r>
      <w:r>
        <w:rPr>
          <w:rFonts w:ascii="Times New Roman" w:eastAsia="黑体" w:hAnsi="Times New Roman" w:cs="Times New Roman"/>
          <w:b/>
          <w:bCs/>
        </w:rPr>
        <w:t>事故场景参数</w:t>
      </w:r>
    </w:p>
    <w:tbl>
      <w:tblPr>
        <w:tblStyle w:val="ab"/>
        <w:tblW w:w="9360" w:type="dxa"/>
        <w:tblLook w:val="04A0" w:firstRow="1" w:lastRow="0" w:firstColumn="1" w:lastColumn="0" w:noHBand="0" w:noVBand="1"/>
      </w:tblPr>
      <w:tblGrid>
        <w:gridCol w:w="4680"/>
        <w:gridCol w:w="4680"/>
      </w:tblGrid>
      <w:tr w:rsidR="00EB0048" w14:paraId="11B9E35D" w14:textId="77777777" w:rsidTr="00DF582E">
        <w:tc>
          <w:tcPr>
            <w:tcW w:w="4680" w:type="dxa"/>
          </w:tcPr>
          <w:p w14:paraId="21B70382" w14:textId="77777777" w:rsidR="00EB0048" w:rsidRDefault="00000000" w:rsidP="00DF582E">
            <w:pPr>
              <w:jc w:val="center"/>
              <w:rPr>
                <w:rFonts w:ascii="Times New Roman" w:hAnsi="Times New Roman" w:cs="Times New Roman"/>
              </w:rPr>
            </w:pPr>
            <w:r>
              <w:rPr>
                <w:rFonts w:ascii="Times New Roman" w:hAnsi="Times New Roman" w:cs="Times New Roman"/>
                <w:b/>
                <w:bCs/>
                <w:sz w:val="20"/>
                <w:szCs w:val="20"/>
              </w:rPr>
              <w:t>参数</w:t>
            </w:r>
          </w:p>
        </w:tc>
        <w:tc>
          <w:tcPr>
            <w:tcW w:w="4680" w:type="dxa"/>
          </w:tcPr>
          <w:p w14:paraId="050E5404" w14:textId="77777777" w:rsidR="00EB0048" w:rsidRDefault="00000000" w:rsidP="00DF582E">
            <w:pPr>
              <w:jc w:val="center"/>
              <w:rPr>
                <w:rFonts w:ascii="Times New Roman" w:hAnsi="Times New Roman" w:cs="Times New Roman"/>
              </w:rPr>
            </w:pPr>
            <w:r>
              <w:rPr>
                <w:rFonts w:ascii="Times New Roman" w:hAnsi="Times New Roman" w:cs="Times New Roman"/>
                <w:b/>
                <w:bCs/>
                <w:sz w:val="20"/>
                <w:szCs w:val="20"/>
              </w:rPr>
              <w:t>设定值</w:t>
            </w:r>
          </w:p>
        </w:tc>
      </w:tr>
      <w:tr w:rsidR="00EB0048" w14:paraId="61875221" w14:textId="77777777" w:rsidTr="00DF582E">
        <w:tc>
          <w:tcPr>
            <w:tcW w:w="4680" w:type="dxa"/>
          </w:tcPr>
          <w:p w14:paraId="23542C52"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事故位置</w:t>
            </w:r>
          </w:p>
        </w:tc>
        <w:tc>
          <w:tcPr>
            <w:tcW w:w="4680" w:type="dxa"/>
          </w:tcPr>
          <w:p w14:paraId="6F350ED7"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w:t>
            </w:r>
            <w:r>
              <w:rPr>
                <w:rFonts w:ascii="Times New Roman" w:hAnsi="Times New Roman" w:cs="Times New Roman"/>
                <w:sz w:val="20"/>
                <w:szCs w:val="20"/>
              </w:rPr>
              <w:t>116.494°E</w:t>
            </w:r>
            <w:r>
              <w:rPr>
                <w:rFonts w:ascii="Times New Roman" w:hAnsi="Times New Roman" w:cs="Times New Roman"/>
                <w:sz w:val="20"/>
                <w:szCs w:val="20"/>
              </w:rPr>
              <w:t>，</w:t>
            </w:r>
            <w:r>
              <w:rPr>
                <w:rFonts w:ascii="Times New Roman" w:hAnsi="Times New Roman" w:cs="Times New Roman"/>
                <w:sz w:val="20"/>
                <w:szCs w:val="20"/>
              </w:rPr>
              <w:t>39.736°N</w:t>
            </w:r>
            <w:r>
              <w:rPr>
                <w:rFonts w:ascii="Times New Roman" w:hAnsi="Times New Roman" w:cs="Times New Roman"/>
                <w:sz w:val="20"/>
                <w:szCs w:val="20"/>
              </w:rPr>
              <w:t>）</w:t>
            </w:r>
          </w:p>
        </w:tc>
      </w:tr>
      <w:tr w:rsidR="00EB0048" w14:paraId="5A50757C" w14:textId="77777777" w:rsidTr="00DF582E">
        <w:tc>
          <w:tcPr>
            <w:tcW w:w="4680" w:type="dxa"/>
          </w:tcPr>
          <w:p w14:paraId="1F6697C7"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泄漏气体</w:t>
            </w:r>
          </w:p>
        </w:tc>
        <w:tc>
          <w:tcPr>
            <w:tcW w:w="4680" w:type="dxa"/>
          </w:tcPr>
          <w:p w14:paraId="3DD97453"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氯气（</w:t>
            </w:r>
            <w:r>
              <w:rPr>
                <w:rFonts w:ascii="Times New Roman" w:hAnsi="Times New Roman" w:cs="Times New Roman"/>
                <w:sz w:val="20"/>
                <w:szCs w:val="20"/>
              </w:rPr>
              <w:t>Cl₂</w:t>
            </w:r>
            <w:r>
              <w:rPr>
                <w:rFonts w:ascii="Times New Roman" w:hAnsi="Times New Roman" w:cs="Times New Roman"/>
                <w:sz w:val="20"/>
                <w:szCs w:val="20"/>
              </w:rPr>
              <w:t>）</w:t>
            </w:r>
          </w:p>
        </w:tc>
      </w:tr>
      <w:tr w:rsidR="00EB0048" w14:paraId="49D725D6" w14:textId="77777777" w:rsidTr="00DF582E">
        <w:tc>
          <w:tcPr>
            <w:tcW w:w="4680" w:type="dxa"/>
          </w:tcPr>
          <w:p w14:paraId="5BB7EE03"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泄漏速率</w:t>
            </w:r>
          </w:p>
        </w:tc>
        <w:tc>
          <w:tcPr>
            <w:tcW w:w="4680" w:type="dxa"/>
          </w:tcPr>
          <w:p w14:paraId="3A32CC5F"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5 kg/min</w:t>
            </w:r>
          </w:p>
        </w:tc>
      </w:tr>
      <w:tr w:rsidR="00EB0048" w14:paraId="781D357E" w14:textId="77777777" w:rsidTr="00DF582E">
        <w:tc>
          <w:tcPr>
            <w:tcW w:w="4680" w:type="dxa"/>
          </w:tcPr>
          <w:p w14:paraId="5DD36DF7"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风速</w:t>
            </w:r>
          </w:p>
        </w:tc>
        <w:tc>
          <w:tcPr>
            <w:tcW w:w="4680" w:type="dxa"/>
          </w:tcPr>
          <w:p w14:paraId="132E73CD"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3.0 m/s</w:t>
            </w:r>
          </w:p>
        </w:tc>
      </w:tr>
      <w:tr w:rsidR="00EB0048" w14:paraId="50F8B93D" w14:textId="77777777" w:rsidTr="00DF582E">
        <w:tc>
          <w:tcPr>
            <w:tcW w:w="4680" w:type="dxa"/>
          </w:tcPr>
          <w:p w14:paraId="139A218E"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风向</w:t>
            </w:r>
          </w:p>
        </w:tc>
        <w:tc>
          <w:tcPr>
            <w:tcW w:w="4680" w:type="dxa"/>
          </w:tcPr>
          <w:p w14:paraId="1B0604F4"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225°</w:t>
            </w:r>
            <w:r>
              <w:rPr>
                <w:rFonts w:ascii="Times New Roman" w:hAnsi="Times New Roman" w:cs="Times New Roman"/>
                <w:sz w:val="20"/>
                <w:szCs w:val="20"/>
              </w:rPr>
              <w:t>（西南风，气象学约定）</w:t>
            </w:r>
          </w:p>
        </w:tc>
      </w:tr>
      <w:tr w:rsidR="00EB0048" w14:paraId="1512F73B" w14:textId="77777777" w:rsidTr="00DF582E">
        <w:tc>
          <w:tcPr>
            <w:tcW w:w="4680" w:type="dxa"/>
          </w:tcPr>
          <w:p w14:paraId="70E746A1"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稳定度等级</w:t>
            </w:r>
          </w:p>
        </w:tc>
        <w:tc>
          <w:tcPr>
            <w:tcW w:w="4680" w:type="dxa"/>
          </w:tcPr>
          <w:p w14:paraId="738D76C9"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D</w:t>
            </w:r>
            <w:r>
              <w:rPr>
                <w:rFonts w:ascii="Times New Roman" w:hAnsi="Times New Roman" w:cs="Times New Roman"/>
                <w:sz w:val="20"/>
                <w:szCs w:val="20"/>
              </w:rPr>
              <w:t>级（中性）</w:t>
            </w:r>
          </w:p>
        </w:tc>
      </w:tr>
      <w:tr w:rsidR="00EB0048" w14:paraId="5DC90F62" w14:textId="77777777" w:rsidTr="00DF582E">
        <w:tc>
          <w:tcPr>
            <w:tcW w:w="4680" w:type="dxa"/>
          </w:tcPr>
          <w:p w14:paraId="13A34FCE"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有效释放高度</w:t>
            </w:r>
          </w:p>
        </w:tc>
        <w:tc>
          <w:tcPr>
            <w:tcW w:w="4680" w:type="dxa"/>
          </w:tcPr>
          <w:p w14:paraId="7B393C3E" w14:textId="77777777" w:rsidR="00EB0048" w:rsidRDefault="00000000" w:rsidP="00DF582E">
            <w:pPr>
              <w:jc w:val="center"/>
              <w:rPr>
                <w:rFonts w:ascii="Times New Roman" w:hAnsi="Times New Roman" w:cs="Times New Roman"/>
              </w:rPr>
            </w:pPr>
            <w:r>
              <w:rPr>
                <w:rFonts w:ascii="Times New Roman" w:hAnsi="Times New Roman" w:cs="Times New Roman"/>
                <w:sz w:val="20"/>
                <w:szCs w:val="20"/>
              </w:rPr>
              <w:t>2.0 m</w:t>
            </w:r>
          </w:p>
        </w:tc>
      </w:tr>
    </w:tbl>
    <w:p w14:paraId="055FFBFF"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3.1.2  ERPG</w:t>
      </w:r>
      <w:r>
        <w:rPr>
          <w:rFonts w:ascii="Times New Roman" w:eastAsia="仿宋" w:hAnsi="Times New Roman" w:cs="Times New Roman" w:hint="eastAsia"/>
          <w:b/>
          <w:bCs/>
          <w:color w:val="3B5AA2"/>
          <w:sz w:val="28"/>
          <w:szCs w:val="21"/>
        </w:rPr>
        <w:t>危险区域分级</w:t>
      </w:r>
    </w:p>
    <w:p w14:paraId="4E530D7F" w14:textId="77777777"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基于浓度阈值和距离两类标准划分危险区域。氯气的应急响应计划指南（</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）阈值体系</w:t>
      </w:r>
      <w:bookmarkStart w:id="47" w:name="OLE_LINK125"/>
      <w:bookmarkStart w:id="48" w:name="OLE_LINK126"/>
      <w:r>
        <w:rPr>
          <w:rFonts w:ascii="Times New Roman" w:eastAsia="仿宋" w:hAnsi="Times New Roman" w:cs="Times New Roman"/>
          <w:sz w:val="24"/>
          <w:szCs w:val="24"/>
        </w:rPr>
        <w:fldChar w:fldCharType="begin"/>
      </w:r>
      <w:r>
        <w:rPr>
          <w:rFonts w:ascii="Times New Roman" w:eastAsia="仿宋" w:hAnsi="Times New Roman" w:cs="Times New Roman"/>
          <w:sz w:val="24"/>
          <w:szCs w:val="24"/>
        </w:rPr>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Pr>
          <w:rFonts w:ascii="Times New Roman" w:eastAsia="仿宋" w:hAnsi="Times New Roman" w:cs="Times New Roman"/>
          <w:sz w:val="24"/>
          <w:szCs w:val="24"/>
        </w:rPr>
        <w:fldChar w:fldCharType="separate"/>
      </w:r>
      <w:r>
        <w:rPr>
          <w:rFonts w:ascii="Times New Roman" w:eastAsia="仿宋" w:hAnsi="Times New Roman" w:cs="Times New Roman"/>
          <w:noProof/>
          <w:sz w:val="24"/>
          <w:szCs w:val="24"/>
          <w:vertAlign w:val="superscript"/>
        </w:rPr>
        <w:t>[17]</w:t>
      </w:r>
      <w:r>
        <w:rPr>
          <w:rFonts w:ascii="Times New Roman" w:eastAsia="仿宋" w:hAnsi="Times New Roman" w:cs="Times New Roman"/>
          <w:sz w:val="24"/>
          <w:szCs w:val="24"/>
        </w:rPr>
        <w:fldChar w:fldCharType="end"/>
      </w:r>
      <w:bookmarkEnd w:id="47"/>
      <w:bookmarkEnd w:id="48"/>
      <w:r>
        <w:rPr>
          <w:rFonts w:ascii="Times New Roman" w:eastAsia="仿宋" w:hAnsi="Times New Roman" w:cs="Times New Roman" w:hint="eastAsia"/>
          <w:sz w:val="24"/>
          <w:szCs w:val="24"/>
        </w:rPr>
        <w:t>定义三级危险区域：核心危险区（</w:t>
      </w:r>
      <w:r>
        <w:rPr>
          <w:rFonts w:ascii="Times New Roman" w:eastAsia="仿宋" w:hAnsi="Times New Roman" w:cs="Times New Roman" w:hint="eastAsia"/>
          <w:sz w:val="24"/>
          <w:szCs w:val="24"/>
        </w:rPr>
        <w:t>ERPG-3</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20 mg/m</w:t>
      </w:r>
      <w:r>
        <w:rPr>
          <w:rFonts w:ascii="Calibri" w:eastAsia="仿宋" w:hAnsi="Calibri" w:cs="Calibri"/>
          <w:sz w:val="24"/>
          <w:szCs w:val="24"/>
        </w:rPr>
        <w:t>³</w:t>
      </w:r>
      <w:r>
        <w:rPr>
          <w:rFonts w:ascii="Times New Roman" w:eastAsia="仿宋" w:hAnsi="Times New Roman" w:cs="Times New Roman" w:hint="eastAsia"/>
          <w:sz w:val="24"/>
          <w:szCs w:val="24"/>
        </w:rPr>
        <w:t>，可能危及生命，必须立即疏散）、警戒区（</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 mg/m</w:t>
      </w:r>
      <w:r>
        <w:rPr>
          <w:rFonts w:ascii="Calibri" w:eastAsia="仿宋" w:hAnsi="Calibri" w:cs="Calibri"/>
          <w:sz w:val="24"/>
          <w:szCs w:val="24"/>
        </w:rPr>
        <w:t>³</w:t>
      </w:r>
      <w:r>
        <w:rPr>
          <w:rFonts w:ascii="Times New Roman" w:eastAsia="仿宋" w:hAnsi="Times New Roman" w:cs="Times New Roman" w:hint="eastAsia"/>
          <w:sz w:val="24"/>
          <w:szCs w:val="24"/>
        </w:rPr>
        <w:t>，可能导致严重健康影响，建议紧急疏散）和影响区（</w:t>
      </w:r>
      <w:r>
        <w:rPr>
          <w:rFonts w:ascii="Times New Roman" w:eastAsia="仿宋" w:hAnsi="Times New Roman" w:cs="Times New Roman" w:hint="eastAsia"/>
          <w:sz w:val="24"/>
          <w:szCs w:val="24"/>
        </w:rPr>
        <w:t>ERPG-1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 mg/m</w:t>
      </w:r>
      <w:r>
        <w:rPr>
          <w:rFonts w:ascii="Calibri" w:eastAsia="仿宋" w:hAnsi="Calibri" w:cs="Calibri"/>
          <w:sz w:val="24"/>
          <w:szCs w:val="24"/>
        </w:rPr>
        <w:t>³</w:t>
      </w:r>
      <w:r>
        <w:rPr>
          <w:rFonts w:ascii="Times New Roman" w:eastAsia="仿宋" w:hAnsi="Times New Roman" w:cs="Times New Roman" w:hint="eastAsia"/>
          <w:sz w:val="24"/>
          <w:szCs w:val="24"/>
        </w:rPr>
        <w:t>，可能引起轻微不适，建议就地避难）。</w:t>
      </w:r>
    </w:p>
    <w:p w14:paraId="6339B340"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3.1.3  </w:t>
      </w:r>
      <w:r>
        <w:rPr>
          <w:rFonts w:ascii="Times New Roman" w:eastAsia="仿宋" w:hAnsi="Times New Roman" w:cs="Times New Roman" w:hint="eastAsia"/>
          <w:b/>
          <w:bCs/>
          <w:color w:val="3B5AA2"/>
          <w:sz w:val="28"/>
          <w:szCs w:val="21"/>
        </w:rPr>
        <w:t>道路封闭与</w:t>
      </w:r>
      <w:r>
        <w:rPr>
          <w:rFonts w:ascii="Times New Roman" w:eastAsia="仿宋" w:hAnsi="Times New Roman" w:cs="Times New Roman" w:hint="eastAsia"/>
          <w:b/>
          <w:bCs/>
          <w:color w:val="3B5AA2"/>
          <w:sz w:val="28"/>
          <w:szCs w:val="21"/>
        </w:rPr>
        <w:t>BPR</w:t>
      </w:r>
      <w:r>
        <w:rPr>
          <w:rFonts w:ascii="Times New Roman" w:eastAsia="仿宋" w:hAnsi="Times New Roman" w:cs="Times New Roman" w:hint="eastAsia"/>
          <w:b/>
          <w:bCs/>
          <w:color w:val="3B5AA2"/>
          <w:sz w:val="28"/>
          <w:szCs w:val="21"/>
        </w:rPr>
        <w:t>拥堵效应</w:t>
      </w:r>
    </w:p>
    <w:p w14:paraId="379E9097" w14:textId="77777777"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同时定义基于距离的操作区域：</w:t>
      </w:r>
      <w:r>
        <w:rPr>
          <w:rFonts w:ascii="Times New Roman" w:eastAsia="仿宋" w:hAnsi="Times New Roman" w:cs="Times New Roman" w:hint="eastAsia"/>
          <w:sz w:val="24"/>
          <w:szCs w:val="24"/>
        </w:rPr>
        <w:t>500 m</w:t>
      </w:r>
      <w:r>
        <w:rPr>
          <w:rFonts w:ascii="Times New Roman" w:eastAsia="仿宋" w:hAnsi="Times New Roman" w:cs="Times New Roman" w:hint="eastAsia"/>
          <w:sz w:val="24"/>
          <w:szCs w:val="24"/>
        </w:rPr>
        <w:t>道路封闭区、</w:t>
      </w:r>
      <w:r>
        <w:rPr>
          <w:rFonts w:ascii="Times New Roman" w:eastAsia="仿宋" w:hAnsi="Times New Roman" w:cs="Times New Roman" w:hint="eastAsia"/>
          <w:sz w:val="24"/>
          <w:szCs w:val="24"/>
        </w:rPr>
        <w:t>1 km</w:t>
      </w:r>
      <w:r>
        <w:rPr>
          <w:rFonts w:ascii="Times New Roman" w:eastAsia="仿宋" w:hAnsi="Times New Roman" w:cs="Times New Roman" w:hint="eastAsia"/>
          <w:sz w:val="24"/>
          <w:szCs w:val="24"/>
        </w:rPr>
        <w:t>核心封闭区、</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拥堵区和</w:t>
      </w:r>
      <w:r>
        <w:rPr>
          <w:rFonts w:ascii="Times New Roman" w:eastAsia="仿宋" w:hAnsi="Times New Roman" w:cs="Times New Roman" w:hint="eastAsia"/>
          <w:sz w:val="24"/>
          <w:szCs w:val="24"/>
        </w:rPr>
        <w:t>5 km</w:t>
      </w:r>
      <w:r>
        <w:rPr>
          <w:rFonts w:ascii="Times New Roman" w:eastAsia="仿宋" w:hAnsi="Times New Roman" w:cs="Times New Roman" w:hint="eastAsia"/>
          <w:sz w:val="24"/>
          <w:szCs w:val="24"/>
        </w:rPr>
        <w:t>影响区。核心封闭区内的路段从路网图中移除；拥堵区内路段的行程时间按</w:t>
      </w:r>
      <w:r>
        <w:rPr>
          <w:rFonts w:ascii="Times New Roman" w:eastAsia="仿宋" w:hAnsi="Times New Roman" w:cs="Times New Roman" w:hint="eastAsia"/>
          <w:sz w:val="24"/>
          <w:szCs w:val="24"/>
        </w:rPr>
        <w:t>BPR</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Bureau of Public Roads</w:t>
      </w:r>
      <w:r>
        <w:rPr>
          <w:rFonts w:ascii="Times New Roman" w:eastAsia="仿宋" w:hAnsi="Times New Roman" w:cs="Times New Roman" w:hint="eastAsia"/>
          <w:sz w:val="24"/>
          <w:szCs w:val="24"/>
        </w:rPr>
        <w:t>）函数上浮：</w:t>
      </w:r>
    </w:p>
    <w:p w14:paraId="591DD1BD" w14:textId="77777777" w:rsidR="00CD5E8C" w:rsidRPr="004C153D" w:rsidRDefault="00CD5E8C" w:rsidP="008837BD">
      <w:pPr>
        <w:spacing w:beforeLines="50" w:before="120" w:after="100"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sz w:val="24"/>
          <w:szCs w:val="24"/>
        </w:rPr>
        <w:t>t = t₀ · [1 + α(v/c)ᵝ]          (3)</w:t>
      </w:r>
    </w:p>
    <w:p w14:paraId="6804142D" w14:textId="77777777" w:rsidR="003F1BA2"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其中</w:t>
      </w:r>
      <w:r>
        <w:rPr>
          <w:rFonts w:ascii="Times New Roman" w:eastAsia="仿宋" w:hAnsi="Times New Roman" w:cs="Times New Roman" w:hint="eastAsia"/>
          <w:sz w:val="24"/>
          <w:szCs w:val="24"/>
        </w:rPr>
        <w:t>t</w:t>
      </w:r>
      <w:r>
        <w:rPr>
          <w:rFonts w:ascii="Times New Roman" w:eastAsia="仿宋" w:hAnsi="Times New Roman" w:cs="Times New Roman"/>
          <w:sz w:val="24"/>
          <w:szCs w:val="24"/>
        </w:rPr>
        <w:t>₀</w:t>
      </w:r>
      <w:r>
        <w:rPr>
          <w:rFonts w:ascii="Times New Roman" w:eastAsia="仿宋" w:hAnsi="Times New Roman" w:cs="Times New Roman" w:hint="eastAsia"/>
          <w:sz w:val="24"/>
          <w:szCs w:val="24"/>
        </w:rPr>
        <w:t>为自由流行程时间，</w:t>
      </w:r>
      <w:r>
        <w:rPr>
          <w:rFonts w:ascii="Times New Roman" w:eastAsia="仿宋" w:hAnsi="Times New Roman" w:cs="Times New Roman" w:hint="eastAsia"/>
          <w:sz w:val="24"/>
          <w:szCs w:val="24"/>
        </w:rPr>
        <w:t>v/c</w:t>
      </w:r>
      <w:r>
        <w:rPr>
          <w:rFonts w:ascii="Times New Roman" w:eastAsia="仿宋" w:hAnsi="Times New Roman" w:cs="Times New Roman" w:hint="eastAsia"/>
          <w:sz w:val="24"/>
          <w:szCs w:val="24"/>
        </w:rPr>
        <w:t>为流量容量比（本研究假设为</w:t>
      </w:r>
      <w:r>
        <w:rPr>
          <w:rFonts w:ascii="Times New Roman" w:eastAsia="仿宋" w:hAnsi="Times New Roman" w:cs="Times New Roman" w:hint="eastAsia"/>
          <w:sz w:val="24"/>
          <w:szCs w:val="24"/>
        </w:rPr>
        <w:t>0.8</w:t>
      </w:r>
      <w:r>
        <w:rPr>
          <w:rFonts w:ascii="Times New Roman" w:eastAsia="仿宋" w:hAnsi="Times New Roman" w:cs="Times New Roman" w:hint="eastAsia"/>
          <w:sz w:val="24"/>
          <w:szCs w:val="24"/>
        </w:rPr>
        <w:t>），α</w:t>
      </w:r>
      <w:r>
        <w:rPr>
          <w:rFonts w:ascii="Times New Roman" w:eastAsia="仿宋" w:hAnsi="Times New Roman" w:cs="Times New Roman" w:hint="eastAsia"/>
          <w:sz w:val="24"/>
          <w:szCs w:val="24"/>
        </w:rPr>
        <w:t>=0.15</w:t>
      </w:r>
      <w:r>
        <w:rPr>
          <w:rFonts w:ascii="Times New Roman" w:eastAsia="仿宋" w:hAnsi="Times New Roman" w:cs="Times New Roman" w:hint="eastAsia"/>
          <w:sz w:val="24"/>
          <w:szCs w:val="24"/>
        </w:rPr>
        <w:t>，β</w:t>
      </w:r>
      <w:r>
        <w:rPr>
          <w:rFonts w:ascii="Times New Roman" w:eastAsia="仿宋" w:hAnsi="Times New Roman" w:cs="Times New Roman" w:hint="eastAsia"/>
          <w:sz w:val="24"/>
          <w:szCs w:val="24"/>
        </w:rPr>
        <w:t>=4.0</w:t>
      </w:r>
      <w:r>
        <w:rPr>
          <w:rFonts w:ascii="Times New Roman" w:eastAsia="仿宋" w:hAnsi="Times New Roman" w:cs="Times New Roman" w:hint="eastAsia"/>
          <w:sz w:val="24"/>
          <w:szCs w:val="24"/>
        </w:rPr>
        <w:t>。距事故点越近，拥堵系数按线性插值进一步放大。</w:t>
      </w:r>
    </w:p>
    <w:p w14:paraId="7F86FE5A" w14:textId="77777777" w:rsidR="0074007C" w:rsidRPr="0074007C" w:rsidRDefault="0074007C" w:rsidP="0074007C">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lastRenderedPageBreak/>
        <w:t xml:space="preserve">3.2  </w:t>
      </w:r>
      <w:r>
        <w:rPr>
          <w:rFonts w:ascii="Times New Roman" w:eastAsia="仿宋" w:hAnsi="Times New Roman" w:cs="Times New Roman" w:hint="eastAsia"/>
          <w:color w:val="3B5AA2"/>
          <w:position w:val="16"/>
          <w:sz w:val="32"/>
        </w:rPr>
        <w:t>应急物资配送优化模型</w:t>
      </w:r>
    </w:p>
    <w:p w14:paraId="78D8B422" w14:textId="77777777" w:rsidR="0074007C" w:rsidRPr="0074007C" w:rsidRDefault="0074007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3.2.1  </w:t>
      </w:r>
      <w:r>
        <w:rPr>
          <w:rFonts w:ascii="Times New Roman" w:eastAsia="仿宋" w:hAnsi="Times New Roman" w:cs="Times New Roman" w:hint="eastAsia"/>
          <w:b/>
          <w:bCs/>
          <w:color w:val="3B5AA2"/>
          <w:sz w:val="28"/>
          <w:szCs w:val="21"/>
        </w:rPr>
        <w:t>物流网络与物资分类</w:t>
      </w:r>
    </w:p>
    <w:p w14:paraId="2C837CB5"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构建三层物流网络：供应点层（</w:t>
      </w:r>
      <w:r>
        <w:rPr>
          <w:rFonts w:ascii="Times New Roman" w:eastAsia="仿宋" w:hAnsi="Times New Roman" w:cs="Times New Roman" w:hint="eastAsia"/>
          <w:sz w:val="24"/>
          <w:szCs w:val="24"/>
        </w:rPr>
        <w:t>H</w:t>
      </w:r>
      <w:r>
        <w:rPr>
          <w:rFonts w:ascii="Times New Roman" w:eastAsia="仿宋" w:hAnsi="Times New Roman" w:cs="Times New Roman" w:hint="eastAsia"/>
          <w:sz w:val="24"/>
          <w:szCs w:val="24"/>
        </w:rPr>
        <w:t>）包含</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个消防站（距事故点</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、位于封闭区之外）和</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个假设应急仓库；中转站层（</w:t>
      </w:r>
      <w:r>
        <w:rPr>
          <w:rFonts w:ascii="Times New Roman" w:eastAsia="仿宋" w:hAnsi="Times New Roman" w:cs="Times New Roman" w:hint="eastAsia"/>
          <w:sz w:val="24"/>
          <w:szCs w:val="24"/>
        </w:rPr>
        <w:t>I</w:t>
      </w:r>
      <w:r>
        <w:rPr>
          <w:rFonts w:ascii="Times New Roman" w:eastAsia="仿宋" w:hAnsi="Times New Roman" w:cs="Times New Roman" w:hint="eastAsia"/>
          <w:sz w:val="24"/>
          <w:szCs w:val="24"/>
        </w:rPr>
        <w:t>）包含</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个大容量设施（距事故点</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6 km</w:t>
      </w:r>
      <w:r>
        <w:rPr>
          <w:rFonts w:ascii="Times New Roman" w:eastAsia="仿宋" w:hAnsi="Times New Roman" w:cs="Times New Roman" w:hint="eastAsia"/>
          <w:sz w:val="24"/>
          <w:szCs w:val="24"/>
        </w:rPr>
        <w:t>的体育场馆和公园），兼作无人机起降平台；需求点层（</w:t>
      </w:r>
      <w:r>
        <w:rPr>
          <w:rFonts w:ascii="Times New Roman" w:eastAsia="仿宋" w:hAnsi="Times New Roman" w:cs="Times New Roman" w:hint="eastAsia"/>
          <w:sz w:val="24"/>
          <w:szCs w:val="24"/>
        </w:rPr>
        <w:t>J</w:t>
      </w:r>
      <w:r>
        <w:rPr>
          <w:rFonts w:ascii="Times New Roman" w:eastAsia="仿宋" w:hAnsi="Times New Roman" w:cs="Times New Roman" w:hint="eastAsia"/>
          <w:sz w:val="24"/>
          <w:szCs w:val="24"/>
        </w:rPr>
        <w:t>）包含</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个位置，包括事故核心区、四个隔离区边界点以及接收伤员物资的周边医院。</w:t>
      </w:r>
    </w:p>
    <w:p w14:paraId="4B53E513"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需要指出的是，应急物资的服务对象并非待疏散居民，而是现场救援力量和就地待救的伤员。生命救援类物资主要配发给进入有毒烟羽区域实施搜救的消防和防化人员以及被困核心区暂无法转运的中毒伤员；医疗支援类物资配送至隔离区边界的现场分诊站和周边医院；防护设备类和基础保障类物资则服务于警戒区内的交通管控人员和就地避难居民。应急物资分为四个优先级类别，设置差异化时间窗约束（表</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p>
    <w:p w14:paraId="6C87E204" w14:textId="77777777" w:rsidR="00A028DB" w:rsidRDefault="00A028DB" w:rsidP="00A028DB">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3</w:t>
      </w:r>
      <w:r>
        <w:rPr>
          <w:rFonts w:ascii="Times New Roman" w:eastAsia="黑体" w:hAnsi="Times New Roman" w:cs="Times New Roman"/>
          <w:b/>
          <w:bCs/>
        </w:rPr>
        <w:t xml:space="preserve"> </w:t>
      </w:r>
      <w:r>
        <w:rPr>
          <w:rFonts w:ascii="Times New Roman" w:eastAsia="黑体" w:hAnsi="Times New Roman" w:cs="Times New Roman"/>
          <w:b/>
          <w:bCs/>
        </w:rPr>
        <w:t>应急物资分类</w:t>
      </w:r>
      <w:r>
        <w:rPr>
          <w:rFonts w:ascii="Times New Roman" w:eastAsia="黑体" w:hAnsi="Times New Roman" w:cs="Times New Roman"/>
          <w:b/>
          <w:bCs/>
        </w:rPr>
        <w:t xml:space="preserve"> / Table 3 Supply classification</w:t>
      </w:r>
    </w:p>
    <w:tbl>
      <w:tblPr>
        <w:tblStyle w:val="ab"/>
        <w:tblW w:w="9360" w:type="dxa"/>
        <w:tblLook w:val="04A0" w:firstRow="1" w:lastRow="0" w:firstColumn="1" w:lastColumn="0" w:noHBand="0" w:noVBand="1"/>
      </w:tblPr>
      <w:tblGrid>
        <w:gridCol w:w="1500"/>
        <w:gridCol w:w="2400"/>
        <w:gridCol w:w="1200"/>
        <w:gridCol w:w="1200"/>
        <w:gridCol w:w="1200"/>
        <w:gridCol w:w="1860"/>
      </w:tblGrid>
      <w:tr w:rsidR="00A028DB" w:rsidRPr="00E857B4" w14:paraId="75A1A18E" w14:textId="77777777" w:rsidTr="00E857B4">
        <w:tc>
          <w:tcPr>
            <w:tcW w:w="1500" w:type="dxa"/>
          </w:tcPr>
          <w:p w14:paraId="33F6A4AC"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类别</w:t>
            </w:r>
          </w:p>
        </w:tc>
        <w:tc>
          <w:tcPr>
            <w:tcW w:w="2400" w:type="dxa"/>
          </w:tcPr>
          <w:p w14:paraId="18181FA5"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典型物资</w:t>
            </w:r>
          </w:p>
        </w:tc>
        <w:tc>
          <w:tcPr>
            <w:tcW w:w="1200" w:type="dxa"/>
          </w:tcPr>
          <w:p w14:paraId="7082C984"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时间窗</w:t>
            </w:r>
          </w:p>
        </w:tc>
        <w:tc>
          <w:tcPr>
            <w:tcW w:w="1200" w:type="dxa"/>
          </w:tcPr>
          <w:p w14:paraId="6479BF38"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窗口类型</w:t>
            </w:r>
          </w:p>
        </w:tc>
        <w:tc>
          <w:tcPr>
            <w:tcW w:w="1200" w:type="dxa"/>
          </w:tcPr>
          <w:p w14:paraId="2DA9A156"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每分钟惩罚</w:t>
            </w:r>
          </w:p>
        </w:tc>
        <w:tc>
          <w:tcPr>
            <w:tcW w:w="1860" w:type="dxa"/>
          </w:tcPr>
          <w:p w14:paraId="5F9F197C"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单位重量</w:t>
            </w:r>
            <w:r w:rsidRPr="00E857B4">
              <w:rPr>
                <w:rFonts w:ascii="Times New Roman" w:hAnsi="Times New Roman" w:cs="Times New Roman"/>
                <w:b/>
                <w:bCs/>
                <w:sz w:val="18"/>
                <w:szCs w:val="18"/>
              </w:rPr>
              <w:t>(kg)</w:t>
            </w:r>
          </w:p>
        </w:tc>
      </w:tr>
      <w:tr w:rsidR="00A028DB" w:rsidRPr="00E857B4" w14:paraId="40A28993" w14:textId="77777777" w:rsidTr="00E857B4">
        <w:tc>
          <w:tcPr>
            <w:tcW w:w="1500" w:type="dxa"/>
          </w:tcPr>
          <w:p w14:paraId="54BFB9EC"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生命救援类</w:t>
            </w:r>
          </w:p>
        </w:tc>
        <w:tc>
          <w:tcPr>
            <w:tcW w:w="2400" w:type="dxa"/>
          </w:tcPr>
          <w:p w14:paraId="5A4C7DCE"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防毒面具、氧气瓶、解毒剂</w:t>
            </w:r>
          </w:p>
        </w:tc>
        <w:tc>
          <w:tcPr>
            <w:tcW w:w="1200" w:type="dxa"/>
          </w:tcPr>
          <w:p w14:paraId="43833754"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30</w:t>
            </w:r>
            <w:r w:rsidRPr="00E857B4">
              <w:rPr>
                <w:rFonts w:ascii="Times New Roman" w:hAnsi="Times New Roman" w:cs="Times New Roman"/>
                <w:sz w:val="18"/>
                <w:szCs w:val="18"/>
              </w:rPr>
              <w:t>分钟</w:t>
            </w:r>
          </w:p>
        </w:tc>
        <w:tc>
          <w:tcPr>
            <w:tcW w:w="1200" w:type="dxa"/>
          </w:tcPr>
          <w:p w14:paraId="1BEE7626"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硬时间窗</w:t>
            </w:r>
          </w:p>
        </w:tc>
        <w:tc>
          <w:tcPr>
            <w:tcW w:w="1200" w:type="dxa"/>
          </w:tcPr>
          <w:p w14:paraId="2637411C"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1,000</w:t>
            </w:r>
          </w:p>
        </w:tc>
        <w:tc>
          <w:tcPr>
            <w:tcW w:w="1860" w:type="dxa"/>
          </w:tcPr>
          <w:p w14:paraId="30C99694"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3.0</w:t>
            </w:r>
          </w:p>
        </w:tc>
      </w:tr>
      <w:tr w:rsidR="00A028DB" w:rsidRPr="00E857B4" w14:paraId="793EC50B" w14:textId="77777777" w:rsidTr="00E857B4">
        <w:tc>
          <w:tcPr>
            <w:tcW w:w="1500" w:type="dxa"/>
          </w:tcPr>
          <w:p w14:paraId="3684B621"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医疗支援类</w:t>
            </w:r>
          </w:p>
        </w:tc>
        <w:tc>
          <w:tcPr>
            <w:tcW w:w="2400" w:type="dxa"/>
          </w:tcPr>
          <w:p w14:paraId="1C4BCEC8"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担架、血浆、输液设备</w:t>
            </w:r>
          </w:p>
        </w:tc>
        <w:tc>
          <w:tcPr>
            <w:tcW w:w="1200" w:type="dxa"/>
          </w:tcPr>
          <w:p w14:paraId="23488A60"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60</w:t>
            </w:r>
            <w:r w:rsidRPr="00E857B4">
              <w:rPr>
                <w:rFonts w:ascii="Times New Roman" w:hAnsi="Times New Roman" w:cs="Times New Roman"/>
                <w:sz w:val="18"/>
                <w:szCs w:val="18"/>
              </w:rPr>
              <w:t>分钟</w:t>
            </w:r>
          </w:p>
        </w:tc>
        <w:tc>
          <w:tcPr>
            <w:tcW w:w="1200" w:type="dxa"/>
          </w:tcPr>
          <w:p w14:paraId="30F155CC"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硬时间窗</w:t>
            </w:r>
          </w:p>
        </w:tc>
        <w:tc>
          <w:tcPr>
            <w:tcW w:w="1200" w:type="dxa"/>
          </w:tcPr>
          <w:p w14:paraId="3575538B"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500</w:t>
            </w:r>
          </w:p>
        </w:tc>
        <w:tc>
          <w:tcPr>
            <w:tcW w:w="1860" w:type="dxa"/>
          </w:tcPr>
          <w:p w14:paraId="7112CC91"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8.0</w:t>
            </w:r>
          </w:p>
        </w:tc>
      </w:tr>
      <w:tr w:rsidR="00A028DB" w:rsidRPr="00E857B4" w14:paraId="2B705399" w14:textId="77777777" w:rsidTr="00E857B4">
        <w:tc>
          <w:tcPr>
            <w:tcW w:w="1500" w:type="dxa"/>
          </w:tcPr>
          <w:p w14:paraId="781A2643"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防护设备类</w:t>
            </w:r>
          </w:p>
        </w:tc>
        <w:tc>
          <w:tcPr>
            <w:tcW w:w="2400" w:type="dxa"/>
          </w:tcPr>
          <w:p w14:paraId="1E3ACE81"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防护服、隔离带、警示设备</w:t>
            </w:r>
          </w:p>
        </w:tc>
        <w:tc>
          <w:tcPr>
            <w:tcW w:w="1200" w:type="dxa"/>
          </w:tcPr>
          <w:p w14:paraId="5110EF92"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120</w:t>
            </w:r>
            <w:r w:rsidRPr="00E857B4">
              <w:rPr>
                <w:rFonts w:ascii="Times New Roman" w:hAnsi="Times New Roman" w:cs="Times New Roman"/>
                <w:sz w:val="18"/>
                <w:szCs w:val="18"/>
              </w:rPr>
              <w:t>分钟</w:t>
            </w:r>
          </w:p>
        </w:tc>
        <w:tc>
          <w:tcPr>
            <w:tcW w:w="1200" w:type="dxa"/>
          </w:tcPr>
          <w:p w14:paraId="11C3A389"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软时间窗</w:t>
            </w:r>
          </w:p>
        </w:tc>
        <w:tc>
          <w:tcPr>
            <w:tcW w:w="1200" w:type="dxa"/>
          </w:tcPr>
          <w:p w14:paraId="19657D0A"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100</w:t>
            </w:r>
          </w:p>
        </w:tc>
        <w:tc>
          <w:tcPr>
            <w:tcW w:w="1860" w:type="dxa"/>
          </w:tcPr>
          <w:p w14:paraId="657A99EF"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5.0</w:t>
            </w:r>
          </w:p>
        </w:tc>
      </w:tr>
      <w:tr w:rsidR="00A028DB" w:rsidRPr="00E857B4" w14:paraId="1B1489E6" w14:textId="77777777" w:rsidTr="00E857B4">
        <w:tc>
          <w:tcPr>
            <w:tcW w:w="1500" w:type="dxa"/>
          </w:tcPr>
          <w:p w14:paraId="0F43CC08"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基础保障类</w:t>
            </w:r>
          </w:p>
        </w:tc>
        <w:tc>
          <w:tcPr>
            <w:tcW w:w="2400" w:type="dxa"/>
          </w:tcPr>
          <w:p w14:paraId="36F71245"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饮用水、食品、帐篷、照明</w:t>
            </w:r>
          </w:p>
        </w:tc>
        <w:tc>
          <w:tcPr>
            <w:tcW w:w="1200" w:type="dxa"/>
          </w:tcPr>
          <w:p w14:paraId="3F849FDB"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240</w:t>
            </w:r>
            <w:r w:rsidRPr="00E857B4">
              <w:rPr>
                <w:rFonts w:ascii="Times New Roman" w:hAnsi="Times New Roman" w:cs="Times New Roman"/>
                <w:sz w:val="18"/>
                <w:szCs w:val="18"/>
              </w:rPr>
              <w:t>分钟</w:t>
            </w:r>
          </w:p>
        </w:tc>
        <w:tc>
          <w:tcPr>
            <w:tcW w:w="1200" w:type="dxa"/>
          </w:tcPr>
          <w:p w14:paraId="5DF576A3"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软时间窗</w:t>
            </w:r>
          </w:p>
        </w:tc>
        <w:tc>
          <w:tcPr>
            <w:tcW w:w="1200" w:type="dxa"/>
          </w:tcPr>
          <w:p w14:paraId="2CD54281"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10</w:t>
            </w:r>
          </w:p>
        </w:tc>
        <w:tc>
          <w:tcPr>
            <w:tcW w:w="1860" w:type="dxa"/>
          </w:tcPr>
          <w:p w14:paraId="0C6508F0" w14:textId="77777777" w:rsidR="00A028DB" w:rsidRPr="00E857B4" w:rsidRDefault="00A028DB" w:rsidP="00E857B4">
            <w:pPr>
              <w:jc w:val="center"/>
              <w:rPr>
                <w:rFonts w:ascii="Times New Roman" w:hAnsi="Times New Roman" w:cs="Times New Roman"/>
                <w:sz w:val="18"/>
                <w:szCs w:val="18"/>
              </w:rPr>
            </w:pPr>
            <w:r w:rsidRPr="00E857B4">
              <w:rPr>
                <w:rFonts w:ascii="Times New Roman" w:hAnsi="Times New Roman" w:cs="Times New Roman"/>
                <w:sz w:val="18"/>
                <w:szCs w:val="18"/>
              </w:rPr>
              <w:t>15.0</w:t>
            </w:r>
          </w:p>
        </w:tc>
      </w:tr>
    </w:tbl>
    <w:p w14:paraId="7DFB048F"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3.2.2  </w:t>
      </w:r>
      <w:r>
        <w:rPr>
          <w:rFonts w:ascii="Times New Roman" w:eastAsia="仿宋" w:hAnsi="Times New Roman" w:cs="Times New Roman" w:hint="eastAsia"/>
          <w:b/>
          <w:bCs/>
          <w:color w:val="3B5AA2"/>
          <w:sz w:val="28"/>
          <w:szCs w:val="21"/>
        </w:rPr>
        <w:t>货车—无人机协同机制</w:t>
      </w:r>
    </w:p>
    <w:p w14:paraId="21EAD125"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考虑两种配送模式：直送模式（货车从供应点直接运往需求点）和接力模式（货车将物资送至中转站，由无人机完成封闭区内的末端配送）。货车参数：载重</w:t>
      </w:r>
      <w:r>
        <w:rPr>
          <w:rFonts w:ascii="Times New Roman" w:eastAsia="仿宋" w:hAnsi="Times New Roman" w:cs="Times New Roman" w:hint="eastAsia"/>
          <w:sz w:val="24"/>
          <w:szCs w:val="24"/>
        </w:rPr>
        <w:t>2,000 kg</w:t>
      </w:r>
      <w:r>
        <w:rPr>
          <w:rFonts w:ascii="Times New Roman" w:eastAsia="仿宋" w:hAnsi="Times New Roman" w:cs="Times New Roman" w:hint="eastAsia"/>
          <w:sz w:val="24"/>
          <w:szCs w:val="24"/>
        </w:rPr>
        <w:t>，事故区域内均速</w:t>
      </w:r>
      <w:r>
        <w:rPr>
          <w:rFonts w:ascii="Times New Roman" w:eastAsia="仿宋" w:hAnsi="Times New Roman" w:cs="Times New Roman" w:hint="eastAsia"/>
          <w:sz w:val="24"/>
          <w:szCs w:val="24"/>
        </w:rPr>
        <w:t>40 km/h</w:t>
      </w:r>
      <w:r>
        <w:rPr>
          <w:rFonts w:ascii="Times New Roman" w:eastAsia="仿宋" w:hAnsi="Times New Roman" w:cs="Times New Roman" w:hint="eastAsia"/>
          <w:sz w:val="24"/>
          <w:szCs w:val="24"/>
        </w:rPr>
        <w:t>（受</w:t>
      </w:r>
      <w:r>
        <w:rPr>
          <w:rFonts w:ascii="Times New Roman" w:eastAsia="仿宋" w:hAnsi="Times New Roman" w:cs="Times New Roman" w:hint="eastAsia"/>
          <w:sz w:val="24"/>
          <w:szCs w:val="24"/>
        </w:rPr>
        <w:t>BPR</w:t>
      </w:r>
      <w:r>
        <w:rPr>
          <w:rFonts w:ascii="Times New Roman" w:eastAsia="仿宋" w:hAnsi="Times New Roman" w:cs="Times New Roman" w:hint="eastAsia"/>
          <w:sz w:val="24"/>
          <w:szCs w:val="24"/>
        </w:rPr>
        <w:t>拥堵函数影响），卸货时间</w:t>
      </w:r>
      <w:r>
        <w:rPr>
          <w:rFonts w:ascii="Times New Roman" w:eastAsia="仿宋" w:hAnsi="Times New Roman" w:cs="Times New Roman" w:hint="eastAsia"/>
          <w:sz w:val="24"/>
          <w:szCs w:val="24"/>
        </w:rPr>
        <w:t>5 min</w:t>
      </w:r>
      <w:r>
        <w:rPr>
          <w:rFonts w:ascii="Times New Roman" w:eastAsia="仿宋" w:hAnsi="Times New Roman" w:cs="Times New Roman" w:hint="eastAsia"/>
          <w:sz w:val="24"/>
          <w:szCs w:val="24"/>
        </w:rPr>
        <w:t>。无人机参数：最大航程</w:t>
      </w:r>
      <w:r>
        <w:rPr>
          <w:rFonts w:ascii="Times New Roman" w:eastAsia="仿宋" w:hAnsi="Times New Roman" w:cs="Times New Roman" w:hint="eastAsia"/>
          <w:sz w:val="24"/>
          <w:szCs w:val="24"/>
        </w:rPr>
        <w:t>15 km</w:t>
      </w:r>
      <w:r>
        <w:rPr>
          <w:rFonts w:ascii="Times New Roman" w:eastAsia="仿宋" w:hAnsi="Times New Roman" w:cs="Times New Roman" w:hint="eastAsia"/>
          <w:sz w:val="24"/>
          <w:szCs w:val="24"/>
        </w:rPr>
        <w:t>，载重上限</w:t>
      </w:r>
      <w:r>
        <w:rPr>
          <w:rFonts w:ascii="Times New Roman" w:eastAsia="仿宋" w:hAnsi="Times New Roman" w:cs="Times New Roman" w:hint="eastAsia"/>
          <w:sz w:val="24"/>
          <w:szCs w:val="24"/>
        </w:rPr>
        <w:t>25 kg</w:t>
      </w:r>
      <w:r>
        <w:rPr>
          <w:rFonts w:ascii="Times New Roman" w:eastAsia="仿宋" w:hAnsi="Times New Roman" w:cs="Times New Roman" w:hint="eastAsia"/>
          <w:sz w:val="24"/>
          <w:szCs w:val="24"/>
        </w:rPr>
        <w:t>，巡航速度</w:t>
      </w:r>
      <w:r>
        <w:rPr>
          <w:rFonts w:ascii="Times New Roman" w:eastAsia="仿宋" w:hAnsi="Times New Roman" w:cs="Times New Roman" w:hint="eastAsia"/>
          <w:sz w:val="24"/>
          <w:szCs w:val="24"/>
        </w:rPr>
        <w:t>60 km/h</w:t>
      </w:r>
      <w:r>
        <w:rPr>
          <w:rFonts w:ascii="Times New Roman" w:eastAsia="仿宋" w:hAnsi="Times New Roman" w:cs="Times New Roman" w:hint="eastAsia"/>
          <w:sz w:val="24"/>
          <w:szCs w:val="24"/>
        </w:rPr>
        <w:t>，中转站装载时间</w:t>
      </w:r>
      <w:r>
        <w:rPr>
          <w:rFonts w:ascii="Times New Roman" w:eastAsia="仿宋" w:hAnsi="Times New Roman" w:cs="Times New Roman" w:hint="eastAsia"/>
          <w:sz w:val="24"/>
          <w:szCs w:val="24"/>
        </w:rPr>
        <w:t>5 min</w:t>
      </w:r>
      <w:r>
        <w:rPr>
          <w:rFonts w:ascii="Times New Roman" w:eastAsia="仿宋" w:hAnsi="Times New Roman" w:cs="Times New Roman" w:hint="eastAsia"/>
          <w:sz w:val="24"/>
          <w:szCs w:val="24"/>
        </w:rPr>
        <w:t>。配送车队规模为货车</w:t>
      </w:r>
      <w:r>
        <w:rPr>
          <w:rFonts w:ascii="Times New Roman" w:eastAsia="仿宋" w:hAnsi="Times New Roman" w:cs="Times New Roman" w:hint="eastAsia"/>
          <w:sz w:val="24"/>
          <w:szCs w:val="24"/>
        </w:rPr>
        <w:t>20</w:t>
      </w:r>
      <w:r>
        <w:rPr>
          <w:rFonts w:ascii="Times New Roman" w:eastAsia="仿宋" w:hAnsi="Times New Roman" w:cs="Times New Roman" w:hint="eastAsia"/>
          <w:sz w:val="24"/>
          <w:szCs w:val="24"/>
        </w:rPr>
        <w:t>辆、无人机</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架。</w:t>
      </w:r>
    </w:p>
    <w:p w14:paraId="48664132"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3.2.3  </w:t>
      </w:r>
      <w:r>
        <w:rPr>
          <w:rFonts w:ascii="Times New Roman" w:eastAsia="仿宋" w:hAnsi="Times New Roman" w:cs="Times New Roman" w:hint="eastAsia"/>
          <w:b/>
          <w:bCs/>
          <w:color w:val="3B5AA2"/>
          <w:sz w:val="28"/>
          <w:szCs w:val="21"/>
        </w:rPr>
        <w:t>目标函数与约束条件</w:t>
      </w:r>
    </w:p>
    <w:p w14:paraId="15E00351"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目标函数为最小化加权总和：</w:t>
      </w:r>
    </w:p>
    <w:p w14:paraId="4DEC0055" w14:textId="77777777" w:rsidR="005E37C1" w:rsidRPr="005E37C1" w:rsidRDefault="005E37C1" w:rsidP="008837BD">
      <w:pPr>
        <w:spacing w:beforeLines="50" w:before="120" w:after="100"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sz w:val="24"/>
          <w:szCs w:val="24"/>
        </w:rPr>
        <w:t>min Z = w₁·Makespan + w₂·∑penalty + w₃·∑unmet          (4)</w:t>
      </w:r>
    </w:p>
    <w:p w14:paraId="71D5A8C6"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其中</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为所有任务中最大完成时间，</w:t>
      </w:r>
      <w:r>
        <w:rPr>
          <w:rFonts w:ascii="Times New Roman" w:eastAsia="仿宋" w:hAnsi="Times New Roman" w:cs="Times New Roman" w:hint="eastAsia"/>
          <w:sz w:val="24"/>
          <w:szCs w:val="24"/>
        </w:rPr>
        <w:t>penalty</w:t>
      </w:r>
      <w:r>
        <w:rPr>
          <w:rFonts w:ascii="Times New Roman" w:eastAsia="仿宋" w:hAnsi="Times New Roman" w:cs="Times New Roman" w:hint="eastAsia"/>
          <w:sz w:val="24"/>
          <w:szCs w:val="24"/>
        </w:rPr>
        <w:t>为超出时间窗的惩罚成本之和，</w:t>
      </w:r>
      <w:r>
        <w:rPr>
          <w:rFonts w:ascii="Times New Roman" w:eastAsia="仿宋" w:hAnsi="Times New Roman" w:cs="Times New Roman" w:hint="eastAsia"/>
          <w:sz w:val="24"/>
          <w:szCs w:val="24"/>
        </w:rPr>
        <w:t>unmet</w:t>
      </w:r>
      <w:r>
        <w:rPr>
          <w:rFonts w:ascii="Times New Roman" w:eastAsia="仿宋" w:hAnsi="Times New Roman" w:cs="Times New Roman" w:hint="eastAsia"/>
          <w:sz w:val="24"/>
          <w:szCs w:val="24"/>
        </w:rPr>
        <w:t>为未满足需求的惩罚。权重设定为</w:t>
      </w:r>
      <w:r>
        <w:rPr>
          <w:rFonts w:ascii="Times New Roman" w:eastAsia="仿宋" w:hAnsi="Times New Roman" w:cs="Times New Roman" w:hint="eastAsia"/>
          <w:sz w:val="24"/>
          <w:szCs w:val="24"/>
        </w:rPr>
        <w:t>w</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=1.0, w</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=1.0, w</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=10,000</w:t>
      </w:r>
      <w:r>
        <w:rPr>
          <w:rFonts w:ascii="Times New Roman" w:eastAsia="仿宋" w:hAnsi="Times New Roman" w:cs="Times New Roman" w:hint="eastAsia"/>
          <w:sz w:val="24"/>
          <w:szCs w:val="24"/>
        </w:rPr>
        <w:t>。约束条件包括：车辆载重约束、供应点库存约束、无人机航程约束以及时间窗约束（硬时间窗不可违反）。</w:t>
      </w:r>
    </w:p>
    <w:p w14:paraId="2CB8A359"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3.2.4  </w:t>
      </w:r>
      <w:r>
        <w:rPr>
          <w:rFonts w:ascii="Times New Roman" w:eastAsia="仿宋" w:hAnsi="Times New Roman" w:cs="Times New Roman" w:hint="eastAsia"/>
          <w:b/>
          <w:bCs/>
          <w:color w:val="3B5AA2"/>
          <w:sz w:val="28"/>
          <w:szCs w:val="21"/>
        </w:rPr>
        <w:t>求解算法</w:t>
      </w:r>
    </w:p>
    <w:p w14:paraId="425F6B11"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采用两阶段求解方法。第一阶段为基于优先级的贪心构造：（</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）将任务按优先级（生命救援类优先）和截止时间排序；（</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）对每项任务，评估所有可行的车辆—路径组合（直送和接力两种模式），基于路网</w:t>
      </w:r>
      <w:r>
        <w:rPr>
          <w:rFonts w:ascii="Times New Roman" w:eastAsia="仿宋" w:hAnsi="Times New Roman" w:cs="Times New Roman" w:hint="eastAsia"/>
          <w:sz w:val="24"/>
          <w:szCs w:val="24"/>
        </w:rPr>
        <w:t>Dijkstra</w:t>
      </w:r>
      <w:r>
        <w:rPr>
          <w:rFonts w:ascii="Times New Roman" w:eastAsia="仿宋" w:hAnsi="Times New Roman" w:cs="Times New Roman" w:hint="eastAsia"/>
          <w:sz w:val="24"/>
          <w:szCs w:val="24"/>
        </w:rPr>
        <w:t>最短路径计算行程时间；（</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）选择到达时间最早的组合方案；（</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）更新车辆可用状态和供应点库存。第二阶段为</w:t>
      </w:r>
      <w:r>
        <w:rPr>
          <w:rFonts w:ascii="Times New Roman" w:eastAsia="仿宋" w:hAnsi="Times New Roman" w:cs="Times New Roman" w:hint="eastAsia"/>
          <w:sz w:val="24"/>
          <w:szCs w:val="24"/>
        </w:rPr>
        <w:t>2-opt</w:t>
      </w:r>
      <w:r>
        <w:rPr>
          <w:rFonts w:ascii="Times New Roman" w:eastAsia="仿宋" w:hAnsi="Times New Roman" w:cs="Times New Roman" w:hint="eastAsia"/>
          <w:sz w:val="24"/>
          <w:szCs w:val="24"/>
        </w:rPr>
        <w:t>局部搜索改进：对贪心构造的初始解进行邻域搜索，尝试交换同类型车辆间的任务分配，以降低目标函数值，最大迭代次数</w:t>
      </w:r>
      <w:r>
        <w:rPr>
          <w:rFonts w:ascii="Times New Roman" w:eastAsia="仿宋" w:hAnsi="Times New Roman" w:cs="Times New Roman" w:hint="eastAsia"/>
          <w:sz w:val="24"/>
          <w:szCs w:val="24"/>
        </w:rPr>
        <w:t>200</w:t>
      </w:r>
      <w:r>
        <w:rPr>
          <w:rFonts w:ascii="Times New Roman" w:eastAsia="仿宋" w:hAnsi="Times New Roman" w:cs="Times New Roman" w:hint="eastAsia"/>
          <w:sz w:val="24"/>
          <w:szCs w:val="24"/>
        </w:rPr>
        <w:t>次。</w:t>
      </w:r>
    </w:p>
    <w:p w14:paraId="619B4DEE" w14:textId="77777777" w:rsidR="005E37C1" w:rsidRPr="005E37C1" w:rsidRDefault="005E37C1" w:rsidP="005E37C1">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3.3  </w:t>
      </w:r>
      <w:r>
        <w:rPr>
          <w:rFonts w:ascii="Times New Roman" w:eastAsia="仿宋" w:hAnsi="Times New Roman" w:cs="Times New Roman" w:hint="eastAsia"/>
          <w:color w:val="3B5AA2"/>
          <w:position w:val="16"/>
          <w:sz w:val="32"/>
        </w:rPr>
        <w:t>多类型人员疏散优化模型</w:t>
      </w:r>
    </w:p>
    <w:p w14:paraId="1E098CBD"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3.3.1  </w:t>
      </w:r>
      <w:r>
        <w:rPr>
          <w:rFonts w:ascii="Times New Roman" w:eastAsia="仿宋" w:hAnsi="Times New Roman" w:cs="Times New Roman" w:hint="eastAsia"/>
          <w:b/>
          <w:bCs/>
          <w:color w:val="3B5AA2"/>
          <w:sz w:val="28"/>
          <w:szCs w:val="21"/>
        </w:rPr>
        <w:t>人口分类与交通方式配置</w:t>
      </w:r>
    </w:p>
    <w:p w14:paraId="6F68EA00"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拥堵区范围内的受影响人口按脆弱性和医疗需求分为三类优先级人群（表</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w:t>
      </w:r>
    </w:p>
    <w:p w14:paraId="26E5FCCF" w14:textId="77777777" w:rsidR="005E37C1" w:rsidRDefault="005E37C1" w:rsidP="005E37C1">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4</w:t>
      </w:r>
      <w:r>
        <w:rPr>
          <w:rFonts w:ascii="Times New Roman" w:eastAsia="黑体" w:hAnsi="Times New Roman" w:cs="Times New Roman"/>
          <w:b/>
          <w:bCs/>
        </w:rPr>
        <w:t xml:space="preserve"> </w:t>
      </w:r>
      <w:r>
        <w:rPr>
          <w:rFonts w:ascii="Times New Roman" w:eastAsia="黑体" w:hAnsi="Times New Roman" w:cs="Times New Roman"/>
          <w:b/>
          <w:bCs/>
        </w:rPr>
        <w:t>疏散人口分类</w:t>
      </w:r>
    </w:p>
    <w:tbl>
      <w:tblPr>
        <w:tblStyle w:val="ab"/>
        <w:tblW w:w="9360" w:type="dxa"/>
        <w:tblLook w:val="04A0" w:firstRow="1" w:lastRow="0" w:firstColumn="1" w:lastColumn="0" w:noHBand="0" w:noVBand="1"/>
      </w:tblPr>
      <w:tblGrid>
        <w:gridCol w:w="1100"/>
        <w:gridCol w:w="2000"/>
        <w:gridCol w:w="1100"/>
        <w:gridCol w:w="2200"/>
        <w:gridCol w:w="2960"/>
      </w:tblGrid>
      <w:tr w:rsidR="005E37C1" w:rsidRPr="00E857B4" w14:paraId="19A7B71D" w14:textId="77777777" w:rsidTr="00E857B4">
        <w:tc>
          <w:tcPr>
            <w:tcW w:w="1100" w:type="dxa"/>
          </w:tcPr>
          <w:p w14:paraId="60205FF2"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类别</w:t>
            </w:r>
            <w:r w:rsidRPr="00E857B4">
              <w:rPr>
                <w:rFonts w:ascii="Times New Roman" w:hAnsi="Times New Roman" w:cs="Times New Roman"/>
                <w:b/>
                <w:bCs/>
                <w:sz w:val="18"/>
                <w:szCs w:val="18"/>
              </w:rPr>
              <w:t>(k)</w:t>
            </w:r>
          </w:p>
        </w:tc>
        <w:tc>
          <w:tcPr>
            <w:tcW w:w="2000" w:type="dxa"/>
          </w:tcPr>
          <w:p w14:paraId="550DC372"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人群描述</w:t>
            </w:r>
          </w:p>
        </w:tc>
        <w:tc>
          <w:tcPr>
            <w:tcW w:w="1100" w:type="dxa"/>
          </w:tcPr>
          <w:p w14:paraId="0C0FC1E9"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权重</w:t>
            </w:r>
            <w:r w:rsidRPr="00E857B4">
              <w:rPr>
                <w:rFonts w:ascii="Times New Roman" w:hAnsi="Times New Roman" w:cs="Times New Roman"/>
                <w:b/>
                <w:bCs/>
                <w:sz w:val="18"/>
                <w:szCs w:val="18"/>
              </w:rPr>
              <w:t>(ωk)</w:t>
            </w:r>
          </w:p>
        </w:tc>
        <w:tc>
          <w:tcPr>
            <w:tcW w:w="2200" w:type="dxa"/>
          </w:tcPr>
          <w:p w14:paraId="538EC4C9"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目的地约束</w:t>
            </w:r>
          </w:p>
        </w:tc>
        <w:tc>
          <w:tcPr>
            <w:tcW w:w="2960" w:type="dxa"/>
          </w:tcPr>
          <w:p w14:paraId="27203541"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b/>
                <w:bCs/>
                <w:sz w:val="18"/>
                <w:szCs w:val="18"/>
              </w:rPr>
              <w:t>可用交通工具</w:t>
            </w:r>
          </w:p>
        </w:tc>
      </w:tr>
      <w:tr w:rsidR="005E37C1" w:rsidRPr="00E857B4" w14:paraId="6C8DD0BB" w14:textId="77777777" w:rsidTr="00E857B4">
        <w:tc>
          <w:tcPr>
            <w:tcW w:w="1100" w:type="dxa"/>
          </w:tcPr>
          <w:p w14:paraId="5228855D"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k=1</w:t>
            </w:r>
          </w:p>
        </w:tc>
        <w:tc>
          <w:tcPr>
            <w:tcW w:w="2000" w:type="dxa"/>
          </w:tcPr>
          <w:p w14:paraId="7791129B"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重伤人员、气体中毒者</w:t>
            </w:r>
          </w:p>
        </w:tc>
        <w:tc>
          <w:tcPr>
            <w:tcW w:w="1100" w:type="dxa"/>
          </w:tcPr>
          <w:p w14:paraId="1383ABA3"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10</w:t>
            </w:r>
          </w:p>
        </w:tc>
        <w:tc>
          <w:tcPr>
            <w:tcW w:w="2200" w:type="dxa"/>
          </w:tcPr>
          <w:p w14:paraId="3D5C5246"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必须送往医院</w:t>
            </w:r>
          </w:p>
        </w:tc>
        <w:tc>
          <w:tcPr>
            <w:tcW w:w="2960" w:type="dxa"/>
          </w:tcPr>
          <w:p w14:paraId="19CD1AE7"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救护车、直升机</w:t>
            </w:r>
          </w:p>
        </w:tc>
      </w:tr>
      <w:tr w:rsidR="005E37C1" w:rsidRPr="00E857B4" w14:paraId="0853C89B" w14:textId="77777777" w:rsidTr="00E857B4">
        <w:tc>
          <w:tcPr>
            <w:tcW w:w="1100" w:type="dxa"/>
          </w:tcPr>
          <w:p w14:paraId="178D7459"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k=2</w:t>
            </w:r>
          </w:p>
        </w:tc>
        <w:tc>
          <w:tcPr>
            <w:tcW w:w="2000" w:type="dxa"/>
          </w:tcPr>
          <w:p w14:paraId="28B528B7"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老人、儿童、残障人士</w:t>
            </w:r>
          </w:p>
        </w:tc>
        <w:tc>
          <w:tcPr>
            <w:tcW w:w="1100" w:type="dxa"/>
          </w:tcPr>
          <w:p w14:paraId="48E7B8AA"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5</w:t>
            </w:r>
          </w:p>
        </w:tc>
        <w:tc>
          <w:tcPr>
            <w:tcW w:w="2200" w:type="dxa"/>
          </w:tcPr>
          <w:p w14:paraId="7CA436D5"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优先医院或庇护所</w:t>
            </w:r>
          </w:p>
        </w:tc>
        <w:tc>
          <w:tcPr>
            <w:tcW w:w="2960" w:type="dxa"/>
          </w:tcPr>
          <w:p w14:paraId="42D88ADB"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全部五种</w:t>
            </w:r>
          </w:p>
        </w:tc>
      </w:tr>
      <w:tr w:rsidR="005E37C1" w:rsidRPr="00E857B4" w14:paraId="4BB2ED52" w14:textId="77777777" w:rsidTr="00E857B4">
        <w:tc>
          <w:tcPr>
            <w:tcW w:w="1100" w:type="dxa"/>
          </w:tcPr>
          <w:p w14:paraId="11439C02"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k=3</w:t>
            </w:r>
          </w:p>
        </w:tc>
        <w:tc>
          <w:tcPr>
            <w:tcW w:w="2000" w:type="dxa"/>
          </w:tcPr>
          <w:p w14:paraId="69C4A6F5"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一般健康人员</w:t>
            </w:r>
          </w:p>
        </w:tc>
        <w:tc>
          <w:tcPr>
            <w:tcW w:w="1100" w:type="dxa"/>
          </w:tcPr>
          <w:p w14:paraId="3845E19E"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1</w:t>
            </w:r>
          </w:p>
        </w:tc>
        <w:tc>
          <w:tcPr>
            <w:tcW w:w="2200" w:type="dxa"/>
          </w:tcPr>
          <w:p w14:paraId="6BED315A"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任意庇护所</w:t>
            </w:r>
          </w:p>
        </w:tc>
        <w:tc>
          <w:tcPr>
            <w:tcW w:w="2960" w:type="dxa"/>
          </w:tcPr>
          <w:p w14:paraId="058B4A6D" w14:textId="77777777" w:rsidR="005E37C1" w:rsidRPr="00E857B4" w:rsidRDefault="005E37C1" w:rsidP="00E857B4">
            <w:pPr>
              <w:jc w:val="center"/>
              <w:rPr>
                <w:rFonts w:ascii="Times New Roman" w:hAnsi="Times New Roman" w:cs="Times New Roman"/>
                <w:sz w:val="18"/>
                <w:szCs w:val="18"/>
              </w:rPr>
            </w:pPr>
            <w:r w:rsidRPr="00E857B4">
              <w:rPr>
                <w:rFonts w:ascii="Times New Roman" w:hAnsi="Times New Roman" w:cs="Times New Roman"/>
                <w:sz w:val="18"/>
                <w:szCs w:val="18"/>
              </w:rPr>
              <w:t>公交、私家车、地铁</w:t>
            </w:r>
          </w:p>
        </w:tc>
      </w:tr>
    </w:tbl>
    <w:p w14:paraId="2A4745B2"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疏散交通工具配置如表</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所示。</w:t>
      </w:r>
    </w:p>
    <w:p w14:paraId="0B498E84" w14:textId="77777777" w:rsidR="005E37C1" w:rsidRDefault="005E37C1" w:rsidP="005E37C1">
      <w:pPr>
        <w:spacing w:before="240" w:after="120" w:line="360" w:lineRule="auto"/>
        <w:jc w:val="center"/>
      </w:pPr>
      <w:r>
        <w:rPr>
          <w:rFonts w:hint="eastAsia"/>
          <w:b/>
          <w:bCs/>
        </w:rPr>
        <w:t>表5  疏散交通工具配置 / Table 5  Vehicle fleet configuration</w:t>
      </w:r>
    </w:p>
    <w:tbl>
      <w:tblPr>
        <w:tblStyle w:val="ab"/>
        <w:tblW w:w="9026" w:type="dxa"/>
        <w:tblLook w:val="04A0" w:firstRow="1" w:lastRow="0" w:firstColumn="1" w:lastColumn="0" w:noHBand="0" w:noVBand="1"/>
      </w:tblPr>
      <w:tblGrid>
        <w:gridCol w:w="1000"/>
        <w:gridCol w:w="1200"/>
        <w:gridCol w:w="1300"/>
        <w:gridCol w:w="1200"/>
        <w:gridCol w:w="1200"/>
        <w:gridCol w:w="3126"/>
      </w:tblGrid>
      <w:tr w:rsidR="005E37C1" w14:paraId="2527C51C" w14:textId="77777777" w:rsidTr="00E857B4">
        <w:tc>
          <w:tcPr>
            <w:tcW w:w="1000" w:type="dxa"/>
            <w:hideMark/>
          </w:tcPr>
          <w:p w14:paraId="1FED110E" w14:textId="77777777" w:rsidR="005E37C1" w:rsidRDefault="005E37C1" w:rsidP="00E857B4">
            <w:pPr>
              <w:jc w:val="center"/>
              <w:rPr>
                <w:rFonts w:cs="Times New Roman"/>
              </w:rPr>
            </w:pPr>
            <w:r>
              <w:rPr>
                <w:rFonts w:cs="Times New Roman" w:hint="eastAsia"/>
                <w:b/>
                <w:bCs/>
                <w:sz w:val="18"/>
                <w:szCs w:val="18"/>
              </w:rPr>
              <w:t>工具</w:t>
            </w:r>
          </w:p>
        </w:tc>
        <w:tc>
          <w:tcPr>
            <w:tcW w:w="1200" w:type="dxa"/>
            <w:hideMark/>
          </w:tcPr>
          <w:p w14:paraId="64B41B47" w14:textId="77777777" w:rsidR="005E37C1" w:rsidRDefault="005E37C1" w:rsidP="00E857B4">
            <w:pPr>
              <w:jc w:val="center"/>
              <w:rPr>
                <w:rFonts w:cs="Times New Roman"/>
              </w:rPr>
            </w:pPr>
            <w:r>
              <w:rPr>
                <w:rFonts w:cs="Times New Roman" w:hint="eastAsia"/>
                <w:b/>
                <w:bCs/>
                <w:sz w:val="18"/>
                <w:szCs w:val="18"/>
              </w:rPr>
              <w:t>容量(人)</w:t>
            </w:r>
          </w:p>
        </w:tc>
        <w:tc>
          <w:tcPr>
            <w:tcW w:w="1300" w:type="dxa"/>
            <w:hideMark/>
          </w:tcPr>
          <w:p w14:paraId="6C8760C9" w14:textId="77777777" w:rsidR="005E37C1" w:rsidRDefault="005E37C1" w:rsidP="00E857B4">
            <w:pPr>
              <w:jc w:val="center"/>
              <w:rPr>
                <w:rFonts w:cs="Times New Roman"/>
              </w:rPr>
            </w:pPr>
            <w:r>
              <w:rPr>
                <w:rFonts w:cs="Times New Roman" w:hint="eastAsia"/>
                <w:b/>
                <w:bCs/>
                <w:sz w:val="18"/>
                <w:szCs w:val="18"/>
              </w:rPr>
              <w:t>速度(km/h)</w:t>
            </w:r>
          </w:p>
        </w:tc>
        <w:tc>
          <w:tcPr>
            <w:tcW w:w="1200" w:type="dxa"/>
            <w:hideMark/>
          </w:tcPr>
          <w:p w14:paraId="2098F1BD" w14:textId="77777777" w:rsidR="005E37C1" w:rsidRDefault="005E37C1" w:rsidP="00E857B4">
            <w:pPr>
              <w:jc w:val="center"/>
              <w:rPr>
                <w:rFonts w:cs="Times New Roman"/>
              </w:rPr>
            </w:pPr>
            <w:r>
              <w:rPr>
                <w:rFonts w:cs="Times New Roman" w:hint="eastAsia"/>
                <w:b/>
                <w:bCs/>
                <w:sz w:val="18"/>
                <w:szCs w:val="18"/>
              </w:rPr>
              <w:t>车队规模</w:t>
            </w:r>
          </w:p>
        </w:tc>
        <w:tc>
          <w:tcPr>
            <w:tcW w:w="1200" w:type="dxa"/>
            <w:hideMark/>
          </w:tcPr>
          <w:p w14:paraId="267E96BC" w14:textId="77777777" w:rsidR="005E37C1" w:rsidRDefault="005E37C1" w:rsidP="00E857B4">
            <w:pPr>
              <w:jc w:val="center"/>
              <w:rPr>
                <w:rFonts w:cs="Times New Roman"/>
              </w:rPr>
            </w:pPr>
            <w:r>
              <w:rPr>
                <w:rFonts w:cs="Times New Roman" w:hint="eastAsia"/>
                <w:b/>
                <w:bCs/>
                <w:sz w:val="18"/>
                <w:szCs w:val="18"/>
              </w:rPr>
              <w:t>服务人群</w:t>
            </w:r>
          </w:p>
        </w:tc>
        <w:tc>
          <w:tcPr>
            <w:tcW w:w="3126" w:type="dxa"/>
            <w:hideMark/>
          </w:tcPr>
          <w:p w14:paraId="6169712D" w14:textId="77777777" w:rsidR="005E37C1" w:rsidRDefault="005E37C1" w:rsidP="00E857B4">
            <w:pPr>
              <w:jc w:val="center"/>
              <w:rPr>
                <w:rFonts w:cs="Times New Roman"/>
              </w:rPr>
            </w:pPr>
            <w:r>
              <w:rPr>
                <w:rFonts w:cs="Times New Roman" w:hint="eastAsia"/>
                <w:b/>
                <w:bCs/>
                <w:sz w:val="18"/>
                <w:szCs w:val="18"/>
              </w:rPr>
              <w:t>初始分布</w:t>
            </w:r>
          </w:p>
        </w:tc>
      </w:tr>
      <w:tr w:rsidR="005E37C1" w14:paraId="31BE9386" w14:textId="77777777" w:rsidTr="00E857B4">
        <w:tc>
          <w:tcPr>
            <w:tcW w:w="1000" w:type="dxa"/>
            <w:hideMark/>
          </w:tcPr>
          <w:p w14:paraId="01C17D05" w14:textId="77777777" w:rsidR="005E37C1" w:rsidRDefault="005E37C1" w:rsidP="00E857B4">
            <w:pPr>
              <w:jc w:val="center"/>
              <w:rPr>
                <w:rFonts w:cs="Times New Roman"/>
              </w:rPr>
            </w:pPr>
            <w:r>
              <w:rPr>
                <w:rFonts w:cs="Times New Roman" w:hint="eastAsia"/>
                <w:sz w:val="18"/>
                <w:szCs w:val="18"/>
              </w:rPr>
              <w:t>救护车</w:t>
            </w:r>
          </w:p>
        </w:tc>
        <w:tc>
          <w:tcPr>
            <w:tcW w:w="1200" w:type="dxa"/>
            <w:hideMark/>
          </w:tcPr>
          <w:p w14:paraId="76E5E4FB" w14:textId="77777777" w:rsidR="005E37C1" w:rsidRDefault="005E37C1" w:rsidP="00E857B4">
            <w:pPr>
              <w:jc w:val="center"/>
              <w:rPr>
                <w:rFonts w:cs="Times New Roman"/>
              </w:rPr>
            </w:pPr>
            <w:r>
              <w:rPr>
                <w:rFonts w:cs="Times New Roman" w:hint="eastAsia"/>
                <w:sz w:val="18"/>
                <w:szCs w:val="18"/>
              </w:rPr>
              <w:t>3</w:t>
            </w:r>
          </w:p>
        </w:tc>
        <w:tc>
          <w:tcPr>
            <w:tcW w:w="1300" w:type="dxa"/>
            <w:hideMark/>
          </w:tcPr>
          <w:p w14:paraId="6C8E6BEB" w14:textId="77777777" w:rsidR="005E37C1" w:rsidRDefault="005E37C1" w:rsidP="00E857B4">
            <w:pPr>
              <w:jc w:val="center"/>
              <w:rPr>
                <w:rFonts w:cs="Times New Roman"/>
              </w:rPr>
            </w:pPr>
            <w:r>
              <w:rPr>
                <w:rFonts w:cs="Times New Roman" w:hint="eastAsia"/>
                <w:sz w:val="18"/>
                <w:szCs w:val="18"/>
              </w:rPr>
              <w:t>50</w:t>
            </w:r>
          </w:p>
        </w:tc>
        <w:tc>
          <w:tcPr>
            <w:tcW w:w="1200" w:type="dxa"/>
            <w:hideMark/>
          </w:tcPr>
          <w:p w14:paraId="2ECEF502" w14:textId="77777777" w:rsidR="005E37C1" w:rsidRDefault="005E37C1" w:rsidP="00E857B4">
            <w:pPr>
              <w:jc w:val="center"/>
              <w:rPr>
                <w:rFonts w:cs="Times New Roman"/>
              </w:rPr>
            </w:pPr>
            <w:r>
              <w:rPr>
                <w:rFonts w:cs="Times New Roman" w:hint="eastAsia"/>
                <w:sz w:val="18"/>
                <w:szCs w:val="18"/>
              </w:rPr>
              <w:t>15辆</w:t>
            </w:r>
          </w:p>
        </w:tc>
        <w:tc>
          <w:tcPr>
            <w:tcW w:w="1200" w:type="dxa"/>
            <w:hideMark/>
          </w:tcPr>
          <w:p w14:paraId="549A1116" w14:textId="77777777" w:rsidR="005E37C1" w:rsidRDefault="005E37C1" w:rsidP="00E857B4">
            <w:pPr>
              <w:jc w:val="center"/>
              <w:rPr>
                <w:rFonts w:cs="Times New Roman"/>
              </w:rPr>
            </w:pPr>
            <w:r>
              <w:rPr>
                <w:rFonts w:cs="Times New Roman" w:hint="eastAsia"/>
                <w:sz w:val="18"/>
                <w:szCs w:val="18"/>
              </w:rPr>
              <w:t>k=1, 2</w:t>
            </w:r>
          </w:p>
        </w:tc>
        <w:tc>
          <w:tcPr>
            <w:tcW w:w="3126" w:type="dxa"/>
            <w:hideMark/>
          </w:tcPr>
          <w:p w14:paraId="358E5E25" w14:textId="77777777" w:rsidR="005E37C1" w:rsidRDefault="005E37C1" w:rsidP="00E857B4">
            <w:pPr>
              <w:jc w:val="left"/>
              <w:rPr>
                <w:rFonts w:cs="Times New Roman"/>
              </w:rPr>
            </w:pPr>
            <w:r>
              <w:rPr>
                <w:rFonts w:cs="Times New Roman" w:hint="eastAsia"/>
                <w:sz w:val="18"/>
                <w:szCs w:val="18"/>
              </w:rPr>
              <w:t>围绕事故点均匀分布</w:t>
            </w:r>
          </w:p>
        </w:tc>
      </w:tr>
      <w:tr w:rsidR="005E37C1" w14:paraId="2EE9F739" w14:textId="77777777" w:rsidTr="00E857B4">
        <w:tc>
          <w:tcPr>
            <w:tcW w:w="1000" w:type="dxa"/>
            <w:hideMark/>
          </w:tcPr>
          <w:p w14:paraId="772E4C99" w14:textId="77777777" w:rsidR="005E37C1" w:rsidRDefault="005E37C1" w:rsidP="00E857B4">
            <w:pPr>
              <w:jc w:val="center"/>
              <w:rPr>
                <w:rFonts w:cs="Times New Roman"/>
              </w:rPr>
            </w:pPr>
            <w:r>
              <w:rPr>
                <w:rFonts w:cs="Times New Roman" w:hint="eastAsia"/>
                <w:sz w:val="18"/>
                <w:szCs w:val="18"/>
              </w:rPr>
              <w:t>直升机</w:t>
            </w:r>
          </w:p>
        </w:tc>
        <w:tc>
          <w:tcPr>
            <w:tcW w:w="1200" w:type="dxa"/>
            <w:hideMark/>
          </w:tcPr>
          <w:p w14:paraId="463D9061" w14:textId="77777777" w:rsidR="005E37C1" w:rsidRDefault="005E37C1" w:rsidP="00E857B4">
            <w:pPr>
              <w:jc w:val="center"/>
              <w:rPr>
                <w:rFonts w:cs="Times New Roman"/>
              </w:rPr>
            </w:pPr>
            <w:r>
              <w:rPr>
                <w:rFonts w:cs="Times New Roman" w:hint="eastAsia"/>
                <w:sz w:val="18"/>
                <w:szCs w:val="18"/>
              </w:rPr>
              <w:t>6</w:t>
            </w:r>
          </w:p>
        </w:tc>
        <w:tc>
          <w:tcPr>
            <w:tcW w:w="1300" w:type="dxa"/>
            <w:hideMark/>
          </w:tcPr>
          <w:p w14:paraId="42D8AA63" w14:textId="77777777" w:rsidR="005E37C1" w:rsidRDefault="005E37C1" w:rsidP="00E857B4">
            <w:pPr>
              <w:jc w:val="center"/>
              <w:rPr>
                <w:rFonts w:cs="Times New Roman"/>
              </w:rPr>
            </w:pPr>
            <w:r>
              <w:rPr>
                <w:rFonts w:cs="Times New Roman" w:hint="eastAsia"/>
                <w:sz w:val="18"/>
                <w:szCs w:val="18"/>
              </w:rPr>
              <w:t>150</w:t>
            </w:r>
          </w:p>
        </w:tc>
        <w:tc>
          <w:tcPr>
            <w:tcW w:w="1200" w:type="dxa"/>
            <w:hideMark/>
          </w:tcPr>
          <w:p w14:paraId="0D0D66F1" w14:textId="77777777" w:rsidR="005E37C1" w:rsidRDefault="005E37C1" w:rsidP="00E857B4">
            <w:pPr>
              <w:jc w:val="center"/>
              <w:rPr>
                <w:rFonts w:cs="Times New Roman"/>
              </w:rPr>
            </w:pPr>
            <w:r>
              <w:rPr>
                <w:rFonts w:cs="Times New Roman" w:hint="eastAsia"/>
                <w:sz w:val="18"/>
                <w:szCs w:val="18"/>
              </w:rPr>
              <w:t>3架</w:t>
            </w:r>
          </w:p>
        </w:tc>
        <w:tc>
          <w:tcPr>
            <w:tcW w:w="1200" w:type="dxa"/>
            <w:hideMark/>
          </w:tcPr>
          <w:p w14:paraId="5632F042" w14:textId="77777777" w:rsidR="005E37C1" w:rsidRDefault="005E37C1" w:rsidP="00E857B4">
            <w:pPr>
              <w:jc w:val="center"/>
              <w:rPr>
                <w:rFonts w:cs="Times New Roman"/>
              </w:rPr>
            </w:pPr>
            <w:r>
              <w:rPr>
                <w:rFonts w:cs="Times New Roman" w:hint="eastAsia"/>
                <w:sz w:val="18"/>
                <w:szCs w:val="18"/>
              </w:rPr>
              <w:t>k=1, 2</w:t>
            </w:r>
          </w:p>
        </w:tc>
        <w:tc>
          <w:tcPr>
            <w:tcW w:w="3126" w:type="dxa"/>
            <w:hideMark/>
          </w:tcPr>
          <w:p w14:paraId="7B380377" w14:textId="77777777" w:rsidR="005E37C1" w:rsidRDefault="005E37C1" w:rsidP="00E857B4">
            <w:pPr>
              <w:jc w:val="left"/>
              <w:rPr>
                <w:rFonts w:cs="Times New Roman"/>
              </w:rPr>
            </w:pPr>
            <w:r>
              <w:rPr>
                <w:rFonts w:cs="Times New Roman" w:hint="eastAsia"/>
                <w:sz w:val="18"/>
                <w:szCs w:val="18"/>
              </w:rPr>
              <w:t>围绕事故点均匀分布</w:t>
            </w:r>
          </w:p>
        </w:tc>
      </w:tr>
      <w:tr w:rsidR="005E37C1" w14:paraId="18C928CC" w14:textId="77777777" w:rsidTr="00E857B4">
        <w:tc>
          <w:tcPr>
            <w:tcW w:w="1000" w:type="dxa"/>
            <w:hideMark/>
          </w:tcPr>
          <w:p w14:paraId="60BE1D72" w14:textId="77777777" w:rsidR="005E37C1" w:rsidRDefault="005E37C1" w:rsidP="00E857B4">
            <w:pPr>
              <w:jc w:val="center"/>
              <w:rPr>
                <w:rFonts w:cs="Times New Roman"/>
              </w:rPr>
            </w:pPr>
            <w:r>
              <w:rPr>
                <w:rFonts w:cs="Times New Roman" w:hint="eastAsia"/>
                <w:sz w:val="18"/>
                <w:szCs w:val="18"/>
              </w:rPr>
              <w:t>公交车</w:t>
            </w:r>
          </w:p>
        </w:tc>
        <w:tc>
          <w:tcPr>
            <w:tcW w:w="1200" w:type="dxa"/>
            <w:hideMark/>
          </w:tcPr>
          <w:p w14:paraId="787C9326" w14:textId="77777777" w:rsidR="005E37C1" w:rsidRDefault="005E37C1" w:rsidP="00E857B4">
            <w:pPr>
              <w:jc w:val="center"/>
              <w:rPr>
                <w:rFonts w:cs="Times New Roman"/>
              </w:rPr>
            </w:pPr>
            <w:r>
              <w:rPr>
                <w:rFonts w:cs="Times New Roman" w:hint="eastAsia"/>
                <w:sz w:val="18"/>
                <w:szCs w:val="18"/>
              </w:rPr>
              <w:t>50</w:t>
            </w:r>
          </w:p>
        </w:tc>
        <w:tc>
          <w:tcPr>
            <w:tcW w:w="1300" w:type="dxa"/>
            <w:hideMark/>
          </w:tcPr>
          <w:p w14:paraId="5E2618DB" w14:textId="77777777" w:rsidR="005E37C1" w:rsidRDefault="005E37C1" w:rsidP="00E857B4">
            <w:pPr>
              <w:jc w:val="center"/>
              <w:rPr>
                <w:rFonts w:cs="Times New Roman"/>
              </w:rPr>
            </w:pPr>
            <w:r>
              <w:rPr>
                <w:rFonts w:cs="Times New Roman" w:hint="eastAsia"/>
                <w:sz w:val="18"/>
                <w:szCs w:val="18"/>
              </w:rPr>
              <w:t>30</w:t>
            </w:r>
          </w:p>
        </w:tc>
        <w:tc>
          <w:tcPr>
            <w:tcW w:w="1200" w:type="dxa"/>
            <w:hideMark/>
          </w:tcPr>
          <w:p w14:paraId="769473BB" w14:textId="77777777" w:rsidR="005E37C1" w:rsidRDefault="005E37C1" w:rsidP="00E857B4">
            <w:pPr>
              <w:jc w:val="center"/>
              <w:rPr>
                <w:rFonts w:cs="Times New Roman"/>
              </w:rPr>
            </w:pPr>
            <w:r>
              <w:rPr>
                <w:rFonts w:cs="Times New Roman" w:hint="eastAsia"/>
                <w:sz w:val="18"/>
                <w:szCs w:val="18"/>
              </w:rPr>
              <w:t>20辆</w:t>
            </w:r>
          </w:p>
        </w:tc>
        <w:tc>
          <w:tcPr>
            <w:tcW w:w="1200" w:type="dxa"/>
            <w:hideMark/>
          </w:tcPr>
          <w:p w14:paraId="3828B589" w14:textId="77777777" w:rsidR="005E37C1" w:rsidRDefault="005E37C1" w:rsidP="00E857B4">
            <w:pPr>
              <w:jc w:val="center"/>
              <w:rPr>
                <w:rFonts w:cs="Times New Roman"/>
              </w:rPr>
            </w:pPr>
            <w:r>
              <w:rPr>
                <w:rFonts w:cs="Times New Roman" w:hint="eastAsia"/>
                <w:sz w:val="18"/>
                <w:szCs w:val="18"/>
              </w:rPr>
              <w:t>k=2, 3</w:t>
            </w:r>
          </w:p>
        </w:tc>
        <w:tc>
          <w:tcPr>
            <w:tcW w:w="3126" w:type="dxa"/>
            <w:hideMark/>
          </w:tcPr>
          <w:p w14:paraId="0CC91221" w14:textId="77777777" w:rsidR="005E37C1" w:rsidRDefault="005E37C1" w:rsidP="00E857B4">
            <w:pPr>
              <w:jc w:val="left"/>
              <w:rPr>
                <w:rFonts w:cs="Times New Roman"/>
              </w:rPr>
            </w:pPr>
            <w:r>
              <w:rPr>
                <w:rFonts w:cs="Times New Roman" w:hint="eastAsia"/>
                <w:sz w:val="18"/>
                <w:szCs w:val="18"/>
              </w:rPr>
              <w:t>围绕事故点均匀分布</w:t>
            </w:r>
          </w:p>
        </w:tc>
      </w:tr>
      <w:tr w:rsidR="005E37C1" w14:paraId="2A23AD03" w14:textId="77777777" w:rsidTr="00E857B4">
        <w:tc>
          <w:tcPr>
            <w:tcW w:w="1000" w:type="dxa"/>
            <w:hideMark/>
          </w:tcPr>
          <w:p w14:paraId="782EE569" w14:textId="77777777" w:rsidR="005E37C1" w:rsidRDefault="005E37C1" w:rsidP="00E857B4">
            <w:pPr>
              <w:jc w:val="center"/>
              <w:rPr>
                <w:rFonts w:cs="Times New Roman"/>
              </w:rPr>
            </w:pPr>
            <w:r>
              <w:rPr>
                <w:rFonts w:cs="Times New Roman" w:hint="eastAsia"/>
                <w:sz w:val="18"/>
                <w:szCs w:val="18"/>
              </w:rPr>
              <w:t>私家车</w:t>
            </w:r>
          </w:p>
        </w:tc>
        <w:tc>
          <w:tcPr>
            <w:tcW w:w="1200" w:type="dxa"/>
            <w:hideMark/>
          </w:tcPr>
          <w:p w14:paraId="3A23DC0A" w14:textId="77777777" w:rsidR="005E37C1" w:rsidRDefault="005E37C1" w:rsidP="00E857B4">
            <w:pPr>
              <w:jc w:val="center"/>
              <w:rPr>
                <w:rFonts w:cs="Times New Roman"/>
              </w:rPr>
            </w:pPr>
            <w:r>
              <w:rPr>
                <w:rFonts w:cs="Times New Roman" w:hint="eastAsia"/>
                <w:sz w:val="18"/>
                <w:szCs w:val="18"/>
              </w:rPr>
              <w:t>4</w:t>
            </w:r>
          </w:p>
        </w:tc>
        <w:tc>
          <w:tcPr>
            <w:tcW w:w="1300" w:type="dxa"/>
            <w:hideMark/>
          </w:tcPr>
          <w:p w14:paraId="0CBD3EE2" w14:textId="77777777" w:rsidR="005E37C1" w:rsidRDefault="005E37C1" w:rsidP="00E857B4">
            <w:pPr>
              <w:jc w:val="center"/>
              <w:rPr>
                <w:rFonts w:cs="Times New Roman"/>
              </w:rPr>
            </w:pPr>
            <w:r>
              <w:rPr>
                <w:rFonts w:cs="Times New Roman" w:hint="eastAsia"/>
                <w:sz w:val="18"/>
                <w:szCs w:val="18"/>
              </w:rPr>
              <w:t>35</w:t>
            </w:r>
          </w:p>
        </w:tc>
        <w:tc>
          <w:tcPr>
            <w:tcW w:w="1200" w:type="dxa"/>
            <w:hideMark/>
          </w:tcPr>
          <w:p w14:paraId="53221002" w14:textId="77777777" w:rsidR="005E37C1" w:rsidRDefault="005E37C1" w:rsidP="00E857B4">
            <w:pPr>
              <w:jc w:val="center"/>
              <w:rPr>
                <w:rFonts w:cs="Times New Roman"/>
              </w:rPr>
            </w:pPr>
            <w:r>
              <w:rPr>
                <w:rFonts w:cs="Times New Roman" w:hint="eastAsia"/>
                <w:sz w:val="18"/>
                <w:szCs w:val="18"/>
              </w:rPr>
              <w:t>100辆*</w:t>
            </w:r>
          </w:p>
        </w:tc>
        <w:tc>
          <w:tcPr>
            <w:tcW w:w="1200" w:type="dxa"/>
            <w:hideMark/>
          </w:tcPr>
          <w:p w14:paraId="5CCD077F" w14:textId="77777777" w:rsidR="005E37C1" w:rsidRDefault="005E37C1" w:rsidP="00E857B4">
            <w:pPr>
              <w:jc w:val="center"/>
              <w:rPr>
                <w:rFonts w:cs="Times New Roman"/>
              </w:rPr>
            </w:pPr>
            <w:r>
              <w:rPr>
                <w:rFonts w:cs="Times New Roman" w:hint="eastAsia"/>
                <w:sz w:val="18"/>
                <w:szCs w:val="18"/>
              </w:rPr>
              <w:t>k=2, 3</w:t>
            </w:r>
          </w:p>
        </w:tc>
        <w:tc>
          <w:tcPr>
            <w:tcW w:w="3126" w:type="dxa"/>
            <w:hideMark/>
          </w:tcPr>
          <w:p w14:paraId="40A58D1F" w14:textId="77777777" w:rsidR="005E37C1" w:rsidRDefault="005E37C1" w:rsidP="00E857B4">
            <w:pPr>
              <w:jc w:val="left"/>
              <w:rPr>
                <w:rFonts w:cs="Times New Roman"/>
              </w:rPr>
            </w:pPr>
            <w:r>
              <w:rPr>
                <w:rFonts w:cs="Times New Roman" w:hint="eastAsia"/>
                <w:sz w:val="18"/>
                <w:szCs w:val="18"/>
              </w:rPr>
              <w:t>围绕事故点均匀分布</w:t>
            </w:r>
          </w:p>
        </w:tc>
      </w:tr>
      <w:tr w:rsidR="005E37C1" w14:paraId="269E54FF" w14:textId="77777777" w:rsidTr="00E857B4">
        <w:tc>
          <w:tcPr>
            <w:tcW w:w="1000" w:type="dxa"/>
            <w:hideMark/>
          </w:tcPr>
          <w:p w14:paraId="35B12242" w14:textId="77777777" w:rsidR="005E37C1" w:rsidRDefault="005E37C1" w:rsidP="00E857B4">
            <w:pPr>
              <w:jc w:val="center"/>
              <w:rPr>
                <w:rFonts w:cs="Times New Roman"/>
              </w:rPr>
            </w:pPr>
            <w:r>
              <w:rPr>
                <w:rFonts w:cs="Times New Roman" w:hint="eastAsia"/>
                <w:sz w:val="18"/>
                <w:szCs w:val="18"/>
              </w:rPr>
              <w:t>地铁</w:t>
            </w:r>
          </w:p>
        </w:tc>
        <w:tc>
          <w:tcPr>
            <w:tcW w:w="1200" w:type="dxa"/>
            <w:hideMark/>
          </w:tcPr>
          <w:p w14:paraId="677C1378" w14:textId="77777777" w:rsidR="005E37C1" w:rsidRDefault="005E37C1" w:rsidP="00E857B4">
            <w:pPr>
              <w:jc w:val="center"/>
              <w:rPr>
                <w:rFonts w:cs="Times New Roman"/>
              </w:rPr>
            </w:pPr>
            <w:r>
              <w:rPr>
                <w:rFonts w:cs="Times New Roman" w:hint="eastAsia"/>
                <w:sz w:val="18"/>
                <w:szCs w:val="18"/>
              </w:rPr>
              <w:t>500</w:t>
            </w:r>
          </w:p>
        </w:tc>
        <w:tc>
          <w:tcPr>
            <w:tcW w:w="1300" w:type="dxa"/>
            <w:hideMark/>
          </w:tcPr>
          <w:p w14:paraId="1E03C61A" w14:textId="77777777" w:rsidR="005E37C1" w:rsidRDefault="005E37C1" w:rsidP="00E857B4">
            <w:pPr>
              <w:jc w:val="center"/>
              <w:rPr>
                <w:rFonts w:cs="Times New Roman"/>
              </w:rPr>
            </w:pPr>
            <w:r>
              <w:rPr>
                <w:rFonts w:cs="Times New Roman" w:hint="eastAsia"/>
                <w:sz w:val="18"/>
                <w:szCs w:val="18"/>
              </w:rPr>
              <w:t>40</w:t>
            </w:r>
          </w:p>
        </w:tc>
        <w:tc>
          <w:tcPr>
            <w:tcW w:w="1200" w:type="dxa"/>
            <w:hideMark/>
          </w:tcPr>
          <w:p w14:paraId="11D38F51" w14:textId="77777777" w:rsidR="005E37C1" w:rsidRDefault="005E37C1" w:rsidP="00E857B4">
            <w:pPr>
              <w:jc w:val="center"/>
              <w:rPr>
                <w:rFonts w:cs="Times New Roman"/>
              </w:rPr>
            </w:pPr>
            <w:r>
              <w:rPr>
                <w:rFonts w:cs="Times New Roman" w:hint="eastAsia"/>
                <w:sz w:val="18"/>
                <w:szCs w:val="18"/>
              </w:rPr>
              <w:t>5列</w:t>
            </w:r>
          </w:p>
        </w:tc>
        <w:tc>
          <w:tcPr>
            <w:tcW w:w="1200" w:type="dxa"/>
            <w:hideMark/>
          </w:tcPr>
          <w:p w14:paraId="7C2DCEEB" w14:textId="77777777" w:rsidR="005E37C1" w:rsidRDefault="005E37C1" w:rsidP="00E857B4">
            <w:pPr>
              <w:jc w:val="center"/>
              <w:rPr>
                <w:rFonts w:cs="Times New Roman"/>
              </w:rPr>
            </w:pPr>
            <w:r>
              <w:rPr>
                <w:rFonts w:cs="Times New Roman" w:hint="eastAsia"/>
                <w:sz w:val="18"/>
                <w:szCs w:val="18"/>
              </w:rPr>
              <w:t>k=2, 3</w:t>
            </w:r>
          </w:p>
        </w:tc>
        <w:tc>
          <w:tcPr>
            <w:tcW w:w="3126" w:type="dxa"/>
            <w:hideMark/>
          </w:tcPr>
          <w:p w14:paraId="04680BEE" w14:textId="77777777" w:rsidR="005E37C1" w:rsidRDefault="005E37C1" w:rsidP="00E857B4">
            <w:pPr>
              <w:jc w:val="left"/>
              <w:rPr>
                <w:rFonts w:cs="Times New Roman"/>
              </w:rPr>
            </w:pPr>
            <w:r>
              <w:rPr>
                <w:rFonts w:cs="Times New Roman" w:hint="eastAsia"/>
                <w:sz w:val="18"/>
                <w:szCs w:val="18"/>
              </w:rPr>
              <w:t>地铁站固定</w:t>
            </w:r>
          </w:p>
        </w:tc>
      </w:tr>
    </w:tbl>
    <w:p w14:paraId="232F8292" w14:textId="77777777" w:rsidR="005E37C1" w:rsidRDefault="005E37C1" w:rsidP="005E37C1">
      <w:pPr>
        <w:spacing w:after="120" w:line="360" w:lineRule="auto"/>
      </w:pPr>
      <w:r>
        <w:rPr>
          <w:rFonts w:hint="eastAsia"/>
          <w:sz w:val="18"/>
          <w:szCs w:val="18"/>
        </w:rPr>
        <w:t>注：*私家车数量根据通勤数据中驾车比例动态调整。</w:t>
      </w:r>
    </w:p>
    <w:p w14:paraId="70B0DCE6"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lastRenderedPageBreak/>
        <w:t xml:space="preserve">3.3.2  </w:t>
      </w:r>
      <w:r>
        <w:rPr>
          <w:rFonts w:ascii="Times New Roman" w:eastAsia="仿宋" w:hAnsi="Times New Roman" w:cs="Times New Roman" w:hint="eastAsia"/>
          <w:b/>
          <w:bCs/>
          <w:color w:val="3B5AA2"/>
          <w:sz w:val="28"/>
          <w:szCs w:val="21"/>
        </w:rPr>
        <w:t>风险感知时间步进调度模型</w:t>
      </w:r>
    </w:p>
    <w:p w14:paraId="4C1756CB"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采用时间步进式调度算法，以Δ</w:t>
      </w:r>
      <w:r>
        <w:rPr>
          <w:rFonts w:ascii="Times New Roman" w:eastAsia="仿宋" w:hAnsi="Times New Roman" w:cs="Times New Roman" w:hint="eastAsia"/>
          <w:sz w:val="24"/>
          <w:szCs w:val="24"/>
        </w:rPr>
        <w:t>t=5 min</w:t>
      </w:r>
      <w:r>
        <w:rPr>
          <w:rFonts w:ascii="Times New Roman" w:eastAsia="仿宋" w:hAnsi="Times New Roman" w:cs="Times New Roman" w:hint="eastAsia"/>
          <w:sz w:val="24"/>
          <w:szCs w:val="24"/>
        </w:rPr>
        <w:t>为步长，在</w:t>
      </w:r>
      <w:r>
        <w:rPr>
          <w:rFonts w:ascii="Times New Roman" w:eastAsia="仿宋" w:hAnsi="Times New Roman" w:cs="Times New Roman" w:hint="eastAsia"/>
          <w:sz w:val="24"/>
          <w:szCs w:val="24"/>
        </w:rPr>
        <w:t>T=180 min</w:t>
      </w:r>
      <w:r>
        <w:rPr>
          <w:rFonts w:ascii="Times New Roman" w:eastAsia="仿宋" w:hAnsi="Times New Roman" w:cs="Times New Roman" w:hint="eastAsia"/>
          <w:sz w:val="24"/>
          <w:szCs w:val="24"/>
        </w:rPr>
        <w:t>时间范围内运行。每个时间步：（</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）计算各起点剩余待疏散人口和实时风险暴露值（通过在高斯烟羽浓度场上插值）；（</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）按优先级顺序调度车辆（先</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，再</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，最后</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），各优先级内按风险暴露值降序排列起点（高风险先疏散）；（</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）每辆车被分配至最近的可行起点—终点对，行程时间基于路网</w:t>
      </w:r>
      <w:r>
        <w:rPr>
          <w:rFonts w:ascii="Times New Roman" w:eastAsia="仿宋" w:hAnsi="Times New Roman" w:cs="Times New Roman" w:hint="eastAsia"/>
          <w:sz w:val="24"/>
          <w:szCs w:val="24"/>
        </w:rPr>
        <w:t>Dijkstra</w:t>
      </w:r>
      <w:r>
        <w:rPr>
          <w:rFonts w:ascii="Times New Roman" w:eastAsia="仿宋" w:hAnsi="Times New Roman" w:cs="Times New Roman" w:hint="eastAsia"/>
          <w:sz w:val="24"/>
          <w:szCs w:val="24"/>
        </w:rPr>
        <w:t>最短路径计算；（</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）追踪车辆返回时间以实现重复使用（返回时间</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到达时间</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出行时间</w:t>
      </w:r>
      <w:r>
        <w:rPr>
          <w:rFonts w:ascii="Times New Roman" w:eastAsia="仿宋" w:hAnsi="Times New Roman" w:cs="Times New Roman" w:hint="eastAsia"/>
          <w:sz w:val="24"/>
          <w:szCs w:val="24"/>
        </w:rPr>
        <w:t>+2 min</w:t>
      </w:r>
      <w:r>
        <w:rPr>
          <w:rFonts w:ascii="Times New Roman" w:eastAsia="仿宋" w:hAnsi="Times New Roman" w:cs="Times New Roman" w:hint="eastAsia"/>
          <w:sz w:val="24"/>
          <w:szCs w:val="24"/>
        </w:rPr>
        <w:t>卸客时间）。</w:t>
      </w:r>
    </w:p>
    <w:p w14:paraId="36699186"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 xml:space="preserve">3.3.3  </w:t>
      </w:r>
      <w:r>
        <w:rPr>
          <w:rFonts w:ascii="Times New Roman" w:eastAsia="仿宋" w:hAnsi="Times New Roman" w:cs="Times New Roman" w:hint="eastAsia"/>
          <w:b/>
          <w:bCs/>
          <w:color w:val="3B5AA2"/>
          <w:sz w:val="28"/>
          <w:szCs w:val="21"/>
        </w:rPr>
        <w:t>目标函数</w:t>
      </w:r>
    </w:p>
    <w:p w14:paraId="0B008B1D"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疏散模型最小化三个目标的加权组合：</w:t>
      </w:r>
    </w:p>
    <w:p w14:paraId="2EE58B50" w14:textId="77777777" w:rsidR="005E37C1" w:rsidRPr="008837BD" w:rsidRDefault="005E37C1" w:rsidP="008837BD">
      <w:pPr>
        <w:spacing w:beforeLines="50" w:before="120" w:after="100" w:line="360" w:lineRule="auto"/>
        <w:ind w:firstLineChars="200" w:firstLine="480"/>
        <w:jc w:val="center"/>
        <w:rPr>
          <w:rFonts w:ascii="Times New Roman" w:eastAsia="仿宋" w:hAnsi="Times New Roman" w:cs="Times New Roman"/>
          <w:sz w:val="24"/>
          <w:szCs w:val="24"/>
        </w:rPr>
      </w:pPr>
      <w:r>
        <w:rPr>
          <w:rFonts w:ascii="Times New Roman" w:eastAsia="仿宋" w:hAnsi="Times New Roman" w:cs="Times New Roman"/>
          <w:sz w:val="24"/>
          <w:szCs w:val="24"/>
        </w:rPr>
        <w:t>min Z = w₁·Z₁ + w₂·Z₂ + w₃·Z₃          (5)</w:t>
      </w:r>
    </w:p>
    <w:p w14:paraId="371E433F"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其中</w:t>
      </w:r>
      <w:r>
        <w:rPr>
          <w:rFonts w:ascii="Times New Roman" w:eastAsia="仿宋" w:hAnsi="Times New Roman" w:cs="Times New Roman" w:hint="eastAsia"/>
          <w:sz w:val="24"/>
          <w:szCs w:val="24"/>
        </w:rPr>
        <w:t>Z</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（加权疏散时间）</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ω</w:t>
      </w:r>
      <w:r>
        <w:rPr>
          <w:rFonts w:ascii="Times New Roman" w:eastAsia="仿宋" w:hAnsi="Times New Roman" w:cs="Times New Roman" w:hint="eastAsia"/>
          <w:sz w:val="24"/>
          <w:szCs w:val="24"/>
        </w:rPr>
        <w:t xml:space="preserve">k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行程时间</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运送人数，权重</w:t>
      </w:r>
      <w:r>
        <w:rPr>
          <w:rFonts w:ascii="Times New Roman" w:eastAsia="仿宋" w:hAnsi="Times New Roman" w:cs="Times New Roman" w:hint="eastAsia"/>
          <w:sz w:val="24"/>
          <w:szCs w:val="24"/>
        </w:rPr>
        <w:t>w</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Z</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（动态风险暴露）</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ρ</w:t>
      </w:r>
      <w:r>
        <w:rPr>
          <w:rFonts w:ascii="Times New Roman" w:eastAsia="仿宋" w:hAnsi="Times New Roman" w:cs="Times New Roman" w:hint="eastAsia"/>
          <w:sz w:val="24"/>
          <w:szCs w:val="24"/>
        </w:rPr>
        <w:t xml:space="preserve">(i,t)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ω</w:t>
      </w:r>
      <w:r>
        <w:rPr>
          <w:rFonts w:ascii="Times New Roman" w:eastAsia="仿宋" w:hAnsi="Times New Roman" w:cs="Times New Roman" w:hint="eastAsia"/>
          <w:sz w:val="24"/>
          <w:szCs w:val="24"/>
        </w:rPr>
        <w:t xml:space="preserve">k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Hk(i,t)</w:t>
      </w:r>
      <w:r>
        <w:rPr>
          <w:rFonts w:ascii="Times New Roman" w:eastAsia="仿宋" w:hAnsi="Times New Roman" w:cs="Times New Roman" w:hint="eastAsia"/>
          <w:sz w:val="24"/>
          <w:szCs w:val="24"/>
        </w:rPr>
        <w:t>，其中ρ</w:t>
      </w:r>
      <w:r>
        <w:rPr>
          <w:rFonts w:ascii="Times New Roman" w:eastAsia="仿宋" w:hAnsi="Times New Roman" w:cs="Times New Roman" w:hint="eastAsia"/>
          <w:sz w:val="24"/>
          <w:szCs w:val="24"/>
        </w:rPr>
        <w:t>(i,t)</w:t>
      </w:r>
      <w:r>
        <w:rPr>
          <w:rFonts w:ascii="Times New Roman" w:eastAsia="仿宋" w:hAnsi="Times New Roman" w:cs="Times New Roman" w:hint="eastAsia"/>
          <w:sz w:val="24"/>
          <w:szCs w:val="24"/>
        </w:rPr>
        <w:t>为</w:t>
      </w:r>
      <w:r>
        <w:rPr>
          <w:rFonts w:ascii="Times New Roman" w:eastAsia="仿宋" w:hAnsi="Times New Roman" w:cs="Times New Roman" w:hint="eastAsia"/>
          <w:sz w:val="24"/>
          <w:szCs w:val="24"/>
        </w:rPr>
        <w:t>t</w:t>
      </w:r>
      <w:r>
        <w:rPr>
          <w:rFonts w:ascii="Times New Roman" w:eastAsia="仿宋" w:hAnsi="Times New Roman" w:cs="Times New Roman" w:hint="eastAsia"/>
          <w:sz w:val="24"/>
          <w:szCs w:val="24"/>
        </w:rPr>
        <w:t>时刻节点</w:t>
      </w:r>
      <w:r>
        <w:rPr>
          <w:rFonts w:ascii="Times New Roman" w:eastAsia="仿宋" w:hAnsi="Times New Roman" w:cs="Times New Roman" w:hint="eastAsia"/>
          <w:sz w:val="24"/>
          <w:szCs w:val="24"/>
        </w:rPr>
        <w:t>i</w:t>
      </w:r>
      <w:r>
        <w:rPr>
          <w:rFonts w:ascii="Times New Roman" w:eastAsia="仿宋" w:hAnsi="Times New Roman" w:cs="Times New Roman" w:hint="eastAsia"/>
          <w:sz w:val="24"/>
          <w:szCs w:val="24"/>
        </w:rPr>
        <w:t>处的气体浓度，</w:t>
      </w:r>
      <w:r>
        <w:rPr>
          <w:rFonts w:ascii="Times New Roman" w:eastAsia="仿宋" w:hAnsi="Times New Roman" w:cs="Times New Roman" w:hint="eastAsia"/>
          <w:sz w:val="24"/>
          <w:szCs w:val="24"/>
        </w:rPr>
        <w:t>Hk(i,t)</w:t>
      </w:r>
      <w:r>
        <w:rPr>
          <w:rFonts w:ascii="Times New Roman" w:eastAsia="仿宋" w:hAnsi="Times New Roman" w:cs="Times New Roman" w:hint="eastAsia"/>
          <w:sz w:val="24"/>
          <w:szCs w:val="24"/>
        </w:rPr>
        <w:t>为滞留的</w:t>
      </w:r>
      <w:r>
        <w:rPr>
          <w:rFonts w:ascii="Times New Roman" w:eastAsia="仿宋" w:hAnsi="Times New Roman" w:cs="Times New Roman" w:hint="eastAsia"/>
          <w:sz w:val="24"/>
          <w:szCs w:val="24"/>
        </w:rPr>
        <w:t>k</w:t>
      </w:r>
      <w:r>
        <w:rPr>
          <w:rFonts w:ascii="Times New Roman" w:eastAsia="仿宋" w:hAnsi="Times New Roman" w:cs="Times New Roman" w:hint="eastAsia"/>
          <w:sz w:val="24"/>
          <w:szCs w:val="24"/>
        </w:rPr>
        <w:t>类人口数，权重</w:t>
      </w:r>
      <w:r>
        <w:rPr>
          <w:rFonts w:ascii="Times New Roman" w:eastAsia="仿宋" w:hAnsi="Times New Roman" w:cs="Times New Roman" w:hint="eastAsia"/>
          <w:sz w:val="24"/>
          <w:szCs w:val="24"/>
        </w:rPr>
        <w:t>w</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=0.01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Z</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（未服务需求惩罚）</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Punsat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ω</w:t>
      </w:r>
      <w:r>
        <w:rPr>
          <w:rFonts w:ascii="Times New Roman" w:eastAsia="仿宋" w:hAnsi="Times New Roman" w:cs="Times New Roman" w:hint="eastAsia"/>
          <w:sz w:val="24"/>
          <w:szCs w:val="24"/>
        </w:rPr>
        <w:t xml:space="preserve">k </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 xml:space="preserve"> remainingk(Tmax)</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Punsat=500</w:t>
      </w:r>
      <w:r>
        <w:rPr>
          <w:rFonts w:ascii="Times New Roman" w:eastAsia="仿宋" w:hAnsi="Times New Roman" w:cs="Times New Roman" w:hint="eastAsia"/>
          <w:sz w:val="24"/>
          <w:szCs w:val="24"/>
        </w:rPr>
        <w:t>，权重</w:t>
      </w:r>
      <w:r>
        <w:rPr>
          <w:rFonts w:ascii="Times New Roman" w:eastAsia="仿宋" w:hAnsi="Times New Roman" w:cs="Times New Roman" w:hint="eastAsia"/>
          <w:sz w:val="24"/>
          <w:szCs w:val="24"/>
        </w:rPr>
        <w:t>w</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=100.0</w:t>
      </w:r>
      <w:r>
        <w:rPr>
          <w:rFonts w:ascii="Times New Roman" w:eastAsia="仿宋" w:hAnsi="Times New Roman" w:cs="Times New Roman" w:hint="eastAsia"/>
          <w:sz w:val="24"/>
          <w:szCs w:val="24"/>
        </w:rPr>
        <w:t>。</w:t>
      </w:r>
    </w:p>
    <w:p w14:paraId="1F0690CB" w14:textId="77777777" w:rsidR="005E37C1" w:rsidRPr="00C36B03"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3.4  </w:t>
      </w:r>
      <w:r>
        <w:rPr>
          <w:rFonts w:ascii="Times New Roman" w:eastAsia="仿宋" w:hAnsi="Times New Roman" w:cs="Times New Roman" w:hint="eastAsia"/>
          <w:color w:val="3B5AA2"/>
          <w:position w:val="16"/>
          <w:sz w:val="32"/>
        </w:rPr>
        <w:t>韧性评估框架</w:t>
      </w:r>
    </w:p>
    <w:p w14:paraId="59ED8B78"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应用三维韧性评估框架评价交通系统在危险品事故中的应急响应能力：（</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）结构韧性衡量路网的物理损伤程度，以道路封闭比例（封闭道路长度</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影响区域内总道路长度）为核心指标；（</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）功能韧性衡量应急任务的完成效率，包括物资配送完成率、生命救援准时率和疏散完成率三项指标；（</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）适应韧性衡量分区策略和多模式协同对系统性能的改善能力，以无人机接力配送增量和</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分区策略的疏散增益为代表指标。</w:t>
      </w:r>
    </w:p>
    <w:p w14:paraId="090C5EA0"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hint="eastAsia"/>
          <w:color w:val="3B5AA2"/>
          <w:position w:val="16"/>
          <w:sz w:val="32"/>
          <w:szCs w:val="24"/>
        </w:rPr>
        <w:lastRenderedPageBreak/>
        <w:t xml:space="preserve">4  </w:t>
      </w:r>
      <w:r>
        <w:rPr>
          <w:rFonts w:ascii="Times New Roman" w:eastAsia="仿宋" w:hAnsi="Times New Roman" w:cs="Times New Roman" w:hint="eastAsia"/>
          <w:color w:val="3B5AA2"/>
          <w:position w:val="16"/>
          <w:sz w:val="32"/>
          <w:szCs w:val="24"/>
        </w:rPr>
        <w:t>案例研究与数值结果</w:t>
      </w:r>
    </w:p>
    <w:p w14:paraId="3A96E669"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4.1  </w:t>
      </w:r>
      <w:r>
        <w:rPr>
          <w:rFonts w:ascii="Times New Roman" w:eastAsia="仿宋" w:hAnsi="Times New Roman" w:cs="Times New Roman" w:hint="eastAsia"/>
          <w:color w:val="3B5AA2"/>
          <w:position w:val="16"/>
          <w:sz w:val="32"/>
        </w:rPr>
        <w:t>事故场景参数配置</w:t>
      </w:r>
    </w:p>
    <w:p w14:paraId="0C8EABA0" w14:textId="12E2F635"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事故场景参数配置如表</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所示。</w:t>
      </w:r>
      <w:r>
        <w:rPr>
          <w:rFonts w:ascii="Times New Roman" w:eastAsia="仿宋" w:hAnsi="Times New Roman" w:cs="Times New Roman" w:hint="eastAsia"/>
          <w:sz w:val="24"/>
          <w:szCs w:val="24"/>
        </w:rPr>
        <w:t>1 km</w:t>
      </w:r>
      <w:r>
        <w:rPr>
          <w:rFonts w:ascii="Times New Roman" w:eastAsia="仿宋" w:hAnsi="Times New Roman" w:cs="Times New Roman" w:hint="eastAsia"/>
          <w:sz w:val="24"/>
          <w:szCs w:val="24"/>
        </w:rPr>
        <w:t>核心封闭区内共有</w:t>
      </w:r>
      <w:r>
        <w:rPr>
          <w:rFonts w:ascii="Times New Roman" w:eastAsia="仿宋" w:hAnsi="Times New Roman" w:cs="Times New Roman" w:hint="eastAsia"/>
          <w:sz w:val="24"/>
          <w:szCs w:val="24"/>
        </w:rPr>
        <w:t>96.7 km</w:t>
      </w:r>
      <w:r>
        <w:rPr>
          <w:rFonts w:ascii="Times New Roman" w:eastAsia="仿宋" w:hAnsi="Times New Roman" w:cs="Times New Roman" w:hint="eastAsia"/>
          <w:sz w:val="24"/>
          <w:szCs w:val="24"/>
        </w:rPr>
        <w:t>道路被封闭，占</w:t>
      </w:r>
      <w:r>
        <w:rPr>
          <w:rFonts w:ascii="Times New Roman" w:eastAsia="仿宋" w:hAnsi="Times New Roman" w:cs="Times New Roman" w:hint="eastAsia"/>
          <w:sz w:val="24"/>
          <w:szCs w:val="24"/>
        </w:rPr>
        <w:t>5 km</w:t>
      </w:r>
      <w:r>
        <w:rPr>
          <w:rFonts w:ascii="Times New Roman" w:eastAsia="仿宋" w:hAnsi="Times New Roman" w:cs="Times New Roman" w:hint="eastAsia"/>
          <w:sz w:val="24"/>
          <w:szCs w:val="24"/>
        </w:rPr>
        <w:t>影响区域内总道路长度（</w:t>
      </w:r>
      <w:r>
        <w:rPr>
          <w:rFonts w:ascii="Times New Roman" w:eastAsia="仿宋" w:hAnsi="Times New Roman" w:cs="Times New Roman" w:hint="eastAsia"/>
          <w:sz w:val="24"/>
          <w:szCs w:val="24"/>
        </w:rPr>
        <w:t>505.3 km</w:t>
      </w:r>
      <w:r>
        <w:rPr>
          <w:rFonts w:ascii="Times New Roman" w:eastAsia="仿宋" w:hAnsi="Times New Roman" w:cs="Times New Roman" w:hint="eastAsia"/>
          <w:sz w:val="24"/>
          <w:szCs w:val="24"/>
        </w:rPr>
        <w:t>）的</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显著低于。基于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浓度等值线（经缓冲处理后）划定三级响应区域：</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警戒区（≥</w:t>
      </w:r>
      <w:r>
        <w:rPr>
          <w:rFonts w:ascii="Times New Roman" w:eastAsia="仿宋" w:hAnsi="Times New Roman" w:cs="Times New Roman" w:hint="eastAsia"/>
          <w:sz w:val="24"/>
          <w:szCs w:val="24"/>
        </w:rPr>
        <w:t>3 mg/m</w:t>
      </w:r>
      <w:r>
        <w:rPr>
          <w:rFonts w:ascii="Times New Roman" w:eastAsia="仿宋" w:hAnsi="Times New Roman" w:cs="Times New Roman" w:hint="eastAsia"/>
          <w:sz w:val="24"/>
          <w:szCs w:val="24"/>
        </w:rPr>
        <w:t>³缓冲区）内人口约</w:t>
      </w:r>
      <w:r>
        <w:rPr>
          <w:rFonts w:ascii="Times New Roman" w:eastAsia="仿宋" w:hAnsi="Times New Roman" w:cs="Times New Roman" w:hint="eastAsia"/>
          <w:sz w:val="24"/>
          <w:szCs w:val="24"/>
        </w:rPr>
        <w:t>1.97</w:t>
      </w:r>
      <w:r>
        <w:rPr>
          <w:rFonts w:ascii="Times New Roman" w:eastAsia="仿宋" w:hAnsi="Times New Roman" w:cs="Times New Roman" w:hint="eastAsia"/>
          <w:sz w:val="24"/>
          <w:szCs w:val="24"/>
        </w:rPr>
        <w:t>万人，</w:t>
      </w:r>
      <w:r>
        <w:rPr>
          <w:rFonts w:ascii="Times New Roman" w:eastAsia="仿宋" w:hAnsi="Times New Roman" w:cs="Times New Roman" w:hint="eastAsia"/>
          <w:sz w:val="24"/>
          <w:szCs w:val="24"/>
        </w:rPr>
        <w:t>ERPG-1</w:t>
      </w:r>
      <w:r>
        <w:rPr>
          <w:rFonts w:ascii="Times New Roman" w:eastAsia="仿宋" w:hAnsi="Times New Roman" w:cs="Times New Roman" w:hint="eastAsia"/>
          <w:sz w:val="24"/>
          <w:szCs w:val="24"/>
        </w:rPr>
        <w:t>影响区（≥</w:t>
      </w:r>
      <w:r>
        <w:rPr>
          <w:rFonts w:ascii="Times New Roman" w:eastAsia="仿宋" w:hAnsi="Times New Roman" w:cs="Times New Roman" w:hint="eastAsia"/>
          <w:sz w:val="24"/>
          <w:szCs w:val="24"/>
        </w:rPr>
        <w:t>1 mg/m</w:t>
      </w:r>
      <w:r>
        <w:rPr>
          <w:rFonts w:ascii="Times New Roman" w:eastAsia="仿宋" w:hAnsi="Times New Roman" w:cs="Times New Roman" w:hint="eastAsia"/>
          <w:sz w:val="24"/>
          <w:szCs w:val="24"/>
        </w:rPr>
        <w:t>³缓冲区）内人口约</w:t>
      </w:r>
      <w:r>
        <w:rPr>
          <w:rFonts w:ascii="Times New Roman" w:eastAsia="仿宋" w:hAnsi="Times New Roman" w:cs="Times New Roman" w:hint="eastAsia"/>
          <w:sz w:val="24"/>
          <w:szCs w:val="24"/>
        </w:rPr>
        <w:t>40.7</w:t>
      </w:r>
      <w:r>
        <w:rPr>
          <w:rFonts w:ascii="Times New Roman" w:eastAsia="仿宋" w:hAnsi="Times New Roman" w:cs="Times New Roman" w:hint="eastAsia"/>
          <w:sz w:val="24"/>
          <w:szCs w:val="24"/>
        </w:rPr>
        <w:t>万人。按分区差异化策略，需主动疏散人口约</w:t>
      </w:r>
      <w:r>
        <w:rPr>
          <w:rFonts w:ascii="Times New Roman" w:eastAsia="仿宋" w:hAnsi="Times New Roman" w:cs="Times New Roman" w:hint="eastAsia"/>
          <w:sz w:val="24"/>
          <w:szCs w:val="24"/>
        </w:rPr>
        <w:t>1.38</w:t>
      </w:r>
      <w:r>
        <w:rPr>
          <w:rFonts w:ascii="Times New Roman" w:eastAsia="仿宋" w:hAnsi="Times New Roman" w:cs="Times New Roman" w:hint="eastAsia"/>
          <w:sz w:val="24"/>
          <w:szCs w:val="24"/>
        </w:rPr>
        <w:t>万人（</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区的</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类，以及</w:t>
      </w:r>
      <w:r>
        <w:rPr>
          <w:rFonts w:ascii="Times New Roman" w:eastAsia="仿宋" w:hAnsi="Times New Roman" w:cs="Times New Roman" w:hint="eastAsia"/>
          <w:sz w:val="24"/>
          <w:szCs w:val="24"/>
        </w:rPr>
        <w:t>ERPG-1</w:t>
      </w:r>
      <w:r>
        <w:rPr>
          <w:rFonts w:ascii="Times New Roman" w:eastAsia="仿宋" w:hAnsi="Times New Roman" w:cs="Times New Roman" w:hint="eastAsia"/>
          <w:sz w:val="24"/>
          <w:szCs w:val="24"/>
        </w:rPr>
        <w:t>区的</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类），就地避难人口约</w:t>
      </w:r>
      <w:r>
        <w:rPr>
          <w:rFonts w:ascii="Times New Roman" w:eastAsia="仿宋" w:hAnsi="Times New Roman" w:cs="Times New Roman" w:hint="eastAsia"/>
          <w:sz w:val="24"/>
          <w:szCs w:val="24"/>
        </w:rPr>
        <w:t>41.3</w:t>
      </w:r>
      <w:r>
        <w:rPr>
          <w:rFonts w:ascii="Times New Roman" w:eastAsia="仿宋" w:hAnsi="Times New Roman" w:cs="Times New Roman" w:hint="eastAsia"/>
          <w:sz w:val="24"/>
          <w:szCs w:val="24"/>
        </w:rPr>
        <w:t>万人（产生物资配送需求）。</w:t>
      </w:r>
    </w:p>
    <w:p w14:paraId="585AD7C4"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4.2  </w:t>
      </w:r>
      <w:r>
        <w:rPr>
          <w:rFonts w:ascii="Times New Roman" w:eastAsia="仿宋" w:hAnsi="Times New Roman" w:cs="Times New Roman" w:hint="eastAsia"/>
          <w:color w:val="3B5AA2"/>
          <w:position w:val="16"/>
          <w:sz w:val="32"/>
        </w:rPr>
        <w:t>风向敏感性分析</w:t>
      </w:r>
    </w:p>
    <w:p w14:paraId="30144E59"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对四种风向情景进行分析，评估危险区域的方向敏感性：西南风（</w:t>
      </w:r>
      <w:r>
        <w:rPr>
          <w:rFonts w:ascii="Times New Roman" w:eastAsia="仿宋" w:hAnsi="Times New Roman" w:cs="Times New Roman" w:hint="eastAsia"/>
          <w:sz w:val="24"/>
          <w:szCs w:val="24"/>
        </w:rPr>
        <w:t>225</w:t>
      </w:r>
      <w:r>
        <w:rPr>
          <w:rFonts w:ascii="Times New Roman" w:eastAsia="仿宋" w:hAnsi="Times New Roman" w:cs="Times New Roman" w:hint="eastAsia"/>
          <w:sz w:val="24"/>
          <w:szCs w:val="24"/>
        </w:rPr>
        <w:t>°，基准）、北风（</w:t>
      </w:r>
      <w:r>
        <w:rPr>
          <w:rFonts w:ascii="Times New Roman" w:eastAsia="仿宋" w:hAnsi="Times New Roman" w:cs="Times New Roman" w:hint="eastAsia"/>
          <w:sz w:val="24"/>
          <w:szCs w:val="24"/>
        </w:rPr>
        <w:t>0</w:t>
      </w:r>
      <w:r>
        <w:rPr>
          <w:rFonts w:ascii="Times New Roman" w:eastAsia="仿宋" w:hAnsi="Times New Roman" w:cs="Times New Roman" w:hint="eastAsia"/>
          <w:sz w:val="24"/>
          <w:szCs w:val="24"/>
        </w:rPr>
        <w:t>°）、东风（</w:t>
      </w:r>
      <w:r>
        <w:rPr>
          <w:rFonts w:ascii="Times New Roman" w:eastAsia="仿宋" w:hAnsi="Times New Roman" w:cs="Times New Roman" w:hint="eastAsia"/>
          <w:sz w:val="24"/>
          <w:szCs w:val="24"/>
        </w:rPr>
        <w:t>90</w:t>
      </w:r>
      <w:r>
        <w:rPr>
          <w:rFonts w:ascii="Times New Roman" w:eastAsia="仿宋" w:hAnsi="Times New Roman" w:cs="Times New Roman" w:hint="eastAsia"/>
          <w:sz w:val="24"/>
          <w:szCs w:val="24"/>
        </w:rPr>
        <w:t>°）和强西南风（</w:t>
      </w:r>
      <w:r>
        <w:rPr>
          <w:rFonts w:ascii="Times New Roman" w:eastAsia="仿宋" w:hAnsi="Times New Roman" w:cs="Times New Roman" w:hint="eastAsia"/>
          <w:sz w:val="24"/>
          <w:szCs w:val="24"/>
        </w:rPr>
        <w:t>225</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8 m/s</w:t>
      </w:r>
      <w:r>
        <w:rPr>
          <w:rFonts w:ascii="Times New Roman" w:eastAsia="仿宋" w:hAnsi="Times New Roman" w:cs="Times New Roman" w:hint="eastAsia"/>
          <w:sz w:val="24"/>
          <w:szCs w:val="24"/>
        </w:rPr>
        <w:t>）。结果表明，风向对危险区域覆盖的人口聚集区和基础设施具有决定性影响，凸显了在应急响应系统中融入实时气象数据的重要性。</w:t>
      </w:r>
    </w:p>
    <w:p w14:paraId="160E858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4.3  </w:t>
      </w:r>
      <w:r>
        <w:rPr>
          <w:rFonts w:ascii="Times New Roman" w:eastAsia="仿宋" w:hAnsi="Times New Roman" w:cs="Times New Roman" w:hint="eastAsia"/>
          <w:color w:val="3B5AA2"/>
          <w:position w:val="16"/>
          <w:sz w:val="32"/>
        </w:rPr>
        <w:t>物资配送优化结果</w:t>
      </w:r>
    </w:p>
    <w:p w14:paraId="462438D2"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物资配送方案对比结果如表</w:t>
      </w: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所示。</w:t>
      </w:r>
    </w:p>
    <w:p w14:paraId="76A4A867" w14:textId="77777777" w:rsidR="005E37C1" w:rsidRPr="005E37C1" w:rsidRDefault="005E37C1" w:rsidP="00DF582E">
      <w:pPr>
        <w:spacing w:after="120" w:line="360" w:lineRule="auto"/>
        <w:ind w:firstLine="420"/>
        <w:jc w:val="center"/>
      </w:pPr>
      <w:bookmarkStart w:id="49" w:name="OLE_LINK150"/>
      <w:bookmarkStart w:id="50" w:name="OLE_LINK151"/>
      <w:bookmarkStart w:id="51" w:name="OLE_LINK152"/>
      <w:r>
        <w:rPr>
          <w:rFonts w:hint="eastAsia"/>
          <w:b/>
          <w:bCs/>
        </w:rPr>
        <w:t>表6  物资配送方案对比 / Table 6  Supply delivery scheme comparison</w:t>
      </w:r>
    </w:p>
    <w:tbl>
      <w:tblPr>
        <w:tblStyle w:val="ab"/>
        <w:tblW w:w="9026" w:type="dxa"/>
        <w:tblLook w:val="04A0" w:firstRow="1" w:lastRow="0" w:firstColumn="1" w:lastColumn="0" w:noHBand="0" w:noVBand="1"/>
      </w:tblPr>
      <w:tblGrid>
        <w:gridCol w:w="1945"/>
        <w:gridCol w:w="859"/>
        <w:gridCol w:w="1134"/>
        <w:gridCol w:w="1134"/>
        <w:gridCol w:w="851"/>
        <w:gridCol w:w="850"/>
        <w:gridCol w:w="857"/>
        <w:gridCol w:w="1396"/>
      </w:tblGrid>
      <w:tr w:rsidR="00187076" w:rsidRPr="005E37C1" w14:paraId="35044CC7" w14:textId="77777777" w:rsidTr="00187076">
        <w:tc>
          <w:tcPr>
            <w:tcW w:w="1945" w:type="dxa"/>
            <w:hideMark/>
          </w:tcPr>
          <w:p w14:paraId="25DD68A3" w14:textId="77777777" w:rsidR="005E37C1" w:rsidRPr="005E37C1" w:rsidRDefault="005E37C1" w:rsidP="00E857B4">
            <w:pPr>
              <w:jc w:val="center"/>
            </w:pPr>
            <w:r>
              <w:rPr>
                <w:rFonts w:hint="eastAsia"/>
                <w:b/>
                <w:bCs/>
              </w:rPr>
              <w:t>方案</w:t>
            </w:r>
          </w:p>
        </w:tc>
        <w:tc>
          <w:tcPr>
            <w:tcW w:w="859" w:type="dxa"/>
            <w:hideMark/>
          </w:tcPr>
          <w:p w14:paraId="3A03FA60" w14:textId="77777777" w:rsidR="005E37C1" w:rsidRPr="005E37C1" w:rsidRDefault="005E37C1" w:rsidP="00E857B4">
            <w:pPr>
              <w:jc w:val="center"/>
            </w:pPr>
            <w:r>
              <w:rPr>
                <w:rFonts w:hint="eastAsia"/>
                <w:b/>
                <w:bCs/>
              </w:rPr>
              <w:t>完成</w:t>
            </w:r>
          </w:p>
        </w:tc>
        <w:tc>
          <w:tcPr>
            <w:tcW w:w="1134" w:type="dxa"/>
            <w:hideMark/>
          </w:tcPr>
          <w:p w14:paraId="45A90174" w14:textId="77777777" w:rsidR="005E37C1" w:rsidRPr="005E37C1" w:rsidRDefault="005E37C1" w:rsidP="00E857B4">
            <w:pPr>
              <w:jc w:val="center"/>
            </w:pPr>
            <w:r>
              <w:rPr>
                <w:rFonts w:hint="eastAsia"/>
                <w:b/>
                <w:bCs/>
              </w:rPr>
              <w:t>Makespan</w:t>
            </w:r>
          </w:p>
        </w:tc>
        <w:tc>
          <w:tcPr>
            <w:tcW w:w="1134" w:type="dxa"/>
            <w:hideMark/>
          </w:tcPr>
          <w:p w14:paraId="7FA98B0A" w14:textId="77777777" w:rsidR="005E37C1" w:rsidRPr="005E37C1" w:rsidRDefault="005E37C1" w:rsidP="00E857B4">
            <w:pPr>
              <w:jc w:val="center"/>
            </w:pPr>
            <w:r>
              <w:rPr>
                <w:rFonts w:hint="eastAsia"/>
                <w:b/>
                <w:bCs/>
              </w:rPr>
              <w:t>均时(min)</w:t>
            </w:r>
          </w:p>
        </w:tc>
        <w:tc>
          <w:tcPr>
            <w:tcW w:w="851" w:type="dxa"/>
            <w:hideMark/>
          </w:tcPr>
          <w:p w14:paraId="2647FEE9" w14:textId="77777777" w:rsidR="005E37C1" w:rsidRPr="005E37C1" w:rsidRDefault="005E37C1" w:rsidP="00E857B4">
            <w:pPr>
              <w:jc w:val="center"/>
            </w:pPr>
            <w:r>
              <w:rPr>
                <w:rFonts w:hint="eastAsia"/>
                <w:b/>
                <w:bCs/>
              </w:rPr>
              <w:t>惩罚</w:t>
            </w:r>
          </w:p>
        </w:tc>
        <w:tc>
          <w:tcPr>
            <w:tcW w:w="850" w:type="dxa"/>
            <w:hideMark/>
          </w:tcPr>
          <w:p w14:paraId="330B0949" w14:textId="77777777" w:rsidR="005E37C1" w:rsidRPr="005E37C1" w:rsidRDefault="005E37C1" w:rsidP="00E857B4">
            <w:pPr>
              <w:jc w:val="center"/>
            </w:pPr>
            <w:r>
              <w:rPr>
                <w:rFonts w:hint="eastAsia"/>
                <w:b/>
                <w:bCs/>
              </w:rPr>
              <w:t>直送</w:t>
            </w:r>
          </w:p>
        </w:tc>
        <w:tc>
          <w:tcPr>
            <w:tcW w:w="857" w:type="dxa"/>
            <w:hideMark/>
          </w:tcPr>
          <w:p w14:paraId="49700ACA" w14:textId="77777777" w:rsidR="005E37C1" w:rsidRPr="005E37C1" w:rsidRDefault="005E37C1" w:rsidP="00E857B4">
            <w:pPr>
              <w:jc w:val="center"/>
            </w:pPr>
            <w:r>
              <w:rPr>
                <w:rFonts w:hint="eastAsia"/>
                <w:b/>
                <w:bCs/>
              </w:rPr>
              <w:t>接力</w:t>
            </w:r>
          </w:p>
        </w:tc>
        <w:tc>
          <w:tcPr>
            <w:tcW w:w="1396" w:type="dxa"/>
            <w:hideMark/>
          </w:tcPr>
          <w:p w14:paraId="6A5AB5FB" w14:textId="77777777" w:rsidR="005E37C1" w:rsidRPr="005E37C1" w:rsidRDefault="005E37C1" w:rsidP="00E857B4">
            <w:pPr>
              <w:jc w:val="center"/>
            </w:pPr>
            <w:r>
              <w:rPr>
                <w:rFonts w:hint="eastAsia"/>
                <w:b/>
                <w:bCs/>
              </w:rPr>
              <w:t>改善率</w:t>
            </w:r>
          </w:p>
        </w:tc>
      </w:tr>
      <w:tr w:rsidR="00187076" w:rsidRPr="005E37C1" w14:paraId="556BE5DF" w14:textId="77777777" w:rsidTr="00187076">
        <w:tc>
          <w:tcPr>
            <w:tcW w:w="1945" w:type="dxa"/>
            <w:hideMark/>
          </w:tcPr>
          <w:p w14:paraId="01024C08" w14:textId="77777777" w:rsidR="005E37C1" w:rsidRPr="005E37C1" w:rsidRDefault="005E37C1" w:rsidP="00187076">
            <w:r>
              <w:rPr>
                <w:rFonts w:hint="eastAsia"/>
              </w:rPr>
              <w:t>纯货车</w:t>
            </w:r>
          </w:p>
        </w:tc>
        <w:tc>
          <w:tcPr>
            <w:tcW w:w="859" w:type="dxa"/>
            <w:hideMark/>
          </w:tcPr>
          <w:p w14:paraId="502B8B4C" w14:textId="77777777" w:rsidR="005E37C1" w:rsidRPr="005E37C1" w:rsidRDefault="005E37C1" w:rsidP="00187076">
            <w:r>
              <w:rPr>
                <w:rFonts w:hint="eastAsia"/>
              </w:rPr>
              <w:t>61</w:t>
            </w:r>
          </w:p>
        </w:tc>
        <w:tc>
          <w:tcPr>
            <w:tcW w:w="1134" w:type="dxa"/>
            <w:hideMark/>
          </w:tcPr>
          <w:p w14:paraId="318BCBE3" w14:textId="77777777" w:rsidR="005E37C1" w:rsidRPr="005E37C1" w:rsidRDefault="005E37C1" w:rsidP="00187076">
            <w:r>
              <w:rPr>
                <w:rFonts w:hint="eastAsia"/>
              </w:rPr>
              <w:t>47.3</w:t>
            </w:r>
          </w:p>
        </w:tc>
        <w:tc>
          <w:tcPr>
            <w:tcW w:w="1134" w:type="dxa"/>
            <w:hideMark/>
          </w:tcPr>
          <w:p w14:paraId="5B198A45" w14:textId="77777777" w:rsidR="005E37C1" w:rsidRPr="005E37C1" w:rsidRDefault="005E37C1" w:rsidP="00187076">
            <w:r>
              <w:rPr>
                <w:rFonts w:hint="eastAsia"/>
              </w:rPr>
              <w:t>24.2</w:t>
            </w:r>
          </w:p>
        </w:tc>
        <w:tc>
          <w:tcPr>
            <w:tcW w:w="851" w:type="dxa"/>
            <w:hideMark/>
          </w:tcPr>
          <w:p w14:paraId="7DDA6BDA" w14:textId="77777777" w:rsidR="005E37C1" w:rsidRPr="005E37C1" w:rsidRDefault="005E37C1" w:rsidP="00187076">
            <w:r>
              <w:rPr>
                <w:rFonts w:hint="eastAsia"/>
              </w:rPr>
              <w:t>0</w:t>
            </w:r>
          </w:p>
        </w:tc>
        <w:tc>
          <w:tcPr>
            <w:tcW w:w="850" w:type="dxa"/>
            <w:hideMark/>
          </w:tcPr>
          <w:p w14:paraId="3F6894E3" w14:textId="77777777" w:rsidR="005E37C1" w:rsidRPr="005E37C1" w:rsidRDefault="005E37C1" w:rsidP="00187076">
            <w:r>
              <w:rPr>
                <w:rFonts w:hint="eastAsia"/>
              </w:rPr>
              <w:t>61</w:t>
            </w:r>
          </w:p>
        </w:tc>
        <w:tc>
          <w:tcPr>
            <w:tcW w:w="857" w:type="dxa"/>
            <w:hideMark/>
          </w:tcPr>
          <w:p w14:paraId="2A24AAB3" w14:textId="77777777" w:rsidR="005E37C1" w:rsidRPr="005E37C1" w:rsidRDefault="005E37C1" w:rsidP="00187076">
            <w:r>
              <w:rPr>
                <w:rFonts w:hint="eastAsia"/>
              </w:rPr>
              <w:t>0</w:t>
            </w:r>
          </w:p>
        </w:tc>
        <w:tc>
          <w:tcPr>
            <w:tcW w:w="1396" w:type="dxa"/>
            <w:hideMark/>
          </w:tcPr>
          <w:p w14:paraId="5BB54D86" w14:textId="77777777" w:rsidR="005E37C1" w:rsidRPr="005E37C1" w:rsidRDefault="005E37C1" w:rsidP="00187076">
            <w:r>
              <w:rPr>
                <w:rFonts w:hint="eastAsia"/>
              </w:rPr>
              <w:t>—</w:t>
            </w:r>
          </w:p>
        </w:tc>
      </w:tr>
      <w:tr w:rsidR="00187076" w:rsidRPr="005E37C1" w14:paraId="13D8C629" w14:textId="77777777" w:rsidTr="00187076">
        <w:tc>
          <w:tcPr>
            <w:tcW w:w="1945" w:type="dxa"/>
            <w:hideMark/>
          </w:tcPr>
          <w:p w14:paraId="275E6DD6" w14:textId="77777777" w:rsidR="005E37C1" w:rsidRPr="005E37C1" w:rsidRDefault="005E37C1" w:rsidP="00187076">
            <w:r>
              <w:rPr>
                <w:rFonts w:hint="eastAsia"/>
              </w:rPr>
              <w:t>货车—无人机协同</w:t>
            </w:r>
          </w:p>
        </w:tc>
        <w:tc>
          <w:tcPr>
            <w:tcW w:w="859" w:type="dxa"/>
            <w:hideMark/>
          </w:tcPr>
          <w:p w14:paraId="6CA86BB4" w14:textId="77777777" w:rsidR="005E37C1" w:rsidRPr="005E37C1" w:rsidRDefault="005E37C1" w:rsidP="00187076">
            <w:r>
              <w:rPr>
                <w:rFonts w:hint="eastAsia"/>
              </w:rPr>
              <w:t>60</w:t>
            </w:r>
          </w:p>
        </w:tc>
        <w:tc>
          <w:tcPr>
            <w:tcW w:w="1134" w:type="dxa"/>
            <w:hideMark/>
          </w:tcPr>
          <w:p w14:paraId="1438C4BD" w14:textId="77777777" w:rsidR="005E37C1" w:rsidRPr="005E37C1" w:rsidRDefault="005E37C1" w:rsidP="00187076">
            <w:r>
              <w:rPr>
                <w:rFonts w:hint="eastAsia"/>
              </w:rPr>
              <w:t>47.3</w:t>
            </w:r>
          </w:p>
        </w:tc>
        <w:tc>
          <w:tcPr>
            <w:tcW w:w="1134" w:type="dxa"/>
            <w:hideMark/>
          </w:tcPr>
          <w:p w14:paraId="60E05329" w14:textId="77777777" w:rsidR="005E37C1" w:rsidRPr="005E37C1" w:rsidRDefault="005E37C1" w:rsidP="00187076">
            <w:r>
              <w:rPr>
                <w:rFonts w:hint="eastAsia"/>
              </w:rPr>
              <w:t>25.6</w:t>
            </w:r>
          </w:p>
        </w:tc>
        <w:tc>
          <w:tcPr>
            <w:tcW w:w="851" w:type="dxa"/>
            <w:hideMark/>
          </w:tcPr>
          <w:p w14:paraId="18E33732" w14:textId="77777777" w:rsidR="005E37C1" w:rsidRPr="005E37C1" w:rsidRDefault="005E37C1" w:rsidP="00187076">
            <w:r>
              <w:rPr>
                <w:rFonts w:hint="eastAsia"/>
              </w:rPr>
              <w:t>0</w:t>
            </w:r>
          </w:p>
        </w:tc>
        <w:tc>
          <w:tcPr>
            <w:tcW w:w="850" w:type="dxa"/>
            <w:hideMark/>
          </w:tcPr>
          <w:p w14:paraId="5FC930D6" w14:textId="77777777" w:rsidR="005E37C1" w:rsidRPr="005E37C1" w:rsidRDefault="005E37C1" w:rsidP="00187076">
            <w:r>
              <w:rPr>
                <w:rFonts w:hint="eastAsia"/>
              </w:rPr>
              <w:t>56</w:t>
            </w:r>
          </w:p>
        </w:tc>
        <w:tc>
          <w:tcPr>
            <w:tcW w:w="857" w:type="dxa"/>
            <w:hideMark/>
          </w:tcPr>
          <w:p w14:paraId="44635A02" w14:textId="77777777" w:rsidR="005E37C1" w:rsidRPr="005E37C1" w:rsidRDefault="005E37C1" w:rsidP="00187076">
            <w:r>
              <w:rPr>
                <w:rFonts w:hint="eastAsia"/>
              </w:rPr>
              <w:t>4</w:t>
            </w:r>
          </w:p>
        </w:tc>
        <w:tc>
          <w:tcPr>
            <w:tcW w:w="1396" w:type="dxa"/>
            <w:hideMark/>
          </w:tcPr>
          <w:p w14:paraId="3280D785" w14:textId="77777777" w:rsidR="005E37C1" w:rsidRPr="005E37C1" w:rsidRDefault="005E37C1" w:rsidP="00187076">
            <w:r>
              <w:rPr>
                <w:rFonts w:hint="eastAsia"/>
              </w:rPr>
              <w:t>0%</w:t>
            </w:r>
          </w:p>
        </w:tc>
      </w:tr>
      <w:tr w:rsidR="00187076" w:rsidRPr="005E37C1" w14:paraId="7956E338" w14:textId="77777777" w:rsidTr="00187076">
        <w:tc>
          <w:tcPr>
            <w:tcW w:w="1945" w:type="dxa"/>
            <w:hideMark/>
          </w:tcPr>
          <w:p w14:paraId="7E36D940" w14:textId="77777777" w:rsidR="005E37C1" w:rsidRPr="005E37C1" w:rsidRDefault="005E37C1" w:rsidP="00187076">
            <w:r>
              <w:rPr>
                <w:rFonts w:hint="eastAsia"/>
              </w:rPr>
              <w:t>纯无人机</w:t>
            </w:r>
          </w:p>
        </w:tc>
        <w:tc>
          <w:tcPr>
            <w:tcW w:w="859" w:type="dxa"/>
            <w:hideMark/>
          </w:tcPr>
          <w:p w14:paraId="19395B99" w14:textId="77777777" w:rsidR="005E37C1" w:rsidRPr="005E37C1" w:rsidRDefault="005E37C1" w:rsidP="00187076">
            <w:r>
              <w:rPr>
                <w:rFonts w:hint="eastAsia"/>
              </w:rPr>
              <w:t>0</w:t>
            </w:r>
          </w:p>
        </w:tc>
        <w:tc>
          <w:tcPr>
            <w:tcW w:w="1134" w:type="dxa"/>
            <w:hideMark/>
          </w:tcPr>
          <w:p w14:paraId="487BACE9" w14:textId="77777777" w:rsidR="005E37C1" w:rsidRPr="005E37C1" w:rsidRDefault="005E37C1" w:rsidP="00187076">
            <w:r>
              <w:rPr>
                <w:rFonts w:hint="eastAsia"/>
              </w:rPr>
              <w:t>—</w:t>
            </w:r>
          </w:p>
        </w:tc>
        <w:tc>
          <w:tcPr>
            <w:tcW w:w="1134" w:type="dxa"/>
            <w:hideMark/>
          </w:tcPr>
          <w:p w14:paraId="4BA5468D" w14:textId="77777777" w:rsidR="005E37C1" w:rsidRPr="005E37C1" w:rsidRDefault="005E37C1" w:rsidP="00187076">
            <w:r>
              <w:rPr>
                <w:rFonts w:hint="eastAsia"/>
              </w:rPr>
              <w:t>—</w:t>
            </w:r>
          </w:p>
        </w:tc>
        <w:tc>
          <w:tcPr>
            <w:tcW w:w="851" w:type="dxa"/>
            <w:hideMark/>
          </w:tcPr>
          <w:p w14:paraId="1E907C3F" w14:textId="77777777" w:rsidR="005E37C1" w:rsidRPr="005E37C1" w:rsidRDefault="005E37C1" w:rsidP="00187076">
            <w:r>
              <w:rPr>
                <w:rFonts w:hint="eastAsia"/>
              </w:rPr>
              <w:t>—</w:t>
            </w:r>
          </w:p>
        </w:tc>
        <w:tc>
          <w:tcPr>
            <w:tcW w:w="850" w:type="dxa"/>
            <w:hideMark/>
          </w:tcPr>
          <w:p w14:paraId="27FB3B61" w14:textId="77777777" w:rsidR="005E37C1" w:rsidRPr="005E37C1" w:rsidRDefault="005E37C1" w:rsidP="00187076">
            <w:r>
              <w:rPr>
                <w:rFonts w:hint="eastAsia"/>
              </w:rPr>
              <w:t>0</w:t>
            </w:r>
          </w:p>
        </w:tc>
        <w:tc>
          <w:tcPr>
            <w:tcW w:w="857" w:type="dxa"/>
            <w:hideMark/>
          </w:tcPr>
          <w:p w14:paraId="6C21BE72" w14:textId="77777777" w:rsidR="005E37C1" w:rsidRPr="005E37C1" w:rsidRDefault="005E37C1" w:rsidP="00187076">
            <w:r>
              <w:rPr>
                <w:rFonts w:hint="eastAsia"/>
              </w:rPr>
              <w:t>0</w:t>
            </w:r>
          </w:p>
        </w:tc>
        <w:tc>
          <w:tcPr>
            <w:tcW w:w="1396" w:type="dxa"/>
            <w:hideMark/>
          </w:tcPr>
          <w:p w14:paraId="6593FCD2" w14:textId="77777777" w:rsidR="005E37C1" w:rsidRPr="005E37C1" w:rsidRDefault="005E37C1" w:rsidP="00187076">
            <w:r>
              <w:rPr>
                <w:rFonts w:hint="eastAsia"/>
              </w:rPr>
              <w:t>—</w:t>
            </w:r>
          </w:p>
        </w:tc>
      </w:tr>
      <w:tr w:rsidR="00187076" w:rsidRPr="005E37C1" w14:paraId="04F9B31F" w14:textId="77777777" w:rsidTr="00187076">
        <w:tc>
          <w:tcPr>
            <w:tcW w:w="1945" w:type="dxa"/>
            <w:hideMark/>
          </w:tcPr>
          <w:p w14:paraId="1557E0DE" w14:textId="77777777" w:rsidR="005E37C1" w:rsidRPr="005E37C1" w:rsidRDefault="005E37C1" w:rsidP="00187076">
            <w:r>
              <w:rPr>
                <w:rFonts w:hint="eastAsia"/>
              </w:rPr>
              <w:t>协同(加倍无人机)</w:t>
            </w:r>
          </w:p>
        </w:tc>
        <w:tc>
          <w:tcPr>
            <w:tcW w:w="859" w:type="dxa"/>
            <w:hideMark/>
          </w:tcPr>
          <w:p w14:paraId="675A7259" w14:textId="77777777" w:rsidR="005E37C1" w:rsidRPr="005E37C1" w:rsidRDefault="005E37C1" w:rsidP="00187076">
            <w:r>
              <w:rPr>
                <w:rFonts w:hint="eastAsia"/>
              </w:rPr>
              <w:t>60</w:t>
            </w:r>
          </w:p>
        </w:tc>
        <w:tc>
          <w:tcPr>
            <w:tcW w:w="1134" w:type="dxa"/>
            <w:hideMark/>
          </w:tcPr>
          <w:p w14:paraId="13E1A809" w14:textId="77777777" w:rsidR="005E37C1" w:rsidRPr="005E37C1" w:rsidRDefault="005E37C1" w:rsidP="00187076">
            <w:r>
              <w:rPr>
                <w:rFonts w:hint="eastAsia"/>
              </w:rPr>
              <w:t>47.3</w:t>
            </w:r>
          </w:p>
        </w:tc>
        <w:tc>
          <w:tcPr>
            <w:tcW w:w="1134" w:type="dxa"/>
            <w:hideMark/>
          </w:tcPr>
          <w:p w14:paraId="52F823BB" w14:textId="77777777" w:rsidR="005E37C1" w:rsidRPr="005E37C1" w:rsidRDefault="005E37C1" w:rsidP="00187076">
            <w:r>
              <w:rPr>
                <w:rFonts w:hint="eastAsia"/>
              </w:rPr>
              <w:t>25.6</w:t>
            </w:r>
          </w:p>
        </w:tc>
        <w:tc>
          <w:tcPr>
            <w:tcW w:w="851" w:type="dxa"/>
            <w:hideMark/>
          </w:tcPr>
          <w:p w14:paraId="147F9B32" w14:textId="77777777" w:rsidR="005E37C1" w:rsidRPr="005E37C1" w:rsidRDefault="005E37C1" w:rsidP="00187076">
            <w:r>
              <w:rPr>
                <w:rFonts w:hint="eastAsia"/>
              </w:rPr>
              <w:t>0</w:t>
            </w:r>
          </w:p>
        </w:tc>
        <w:tc>
          <w:tcPr>
            <w:tcW w:w="850" w:type="dxa"/>
            <w:hideMark/>
          </w:tcPr>
          <w:p w14:paraId="7E7193F8" w14:textId="77777777" w:rsidR="005E37C1" w:rsidRPr="005E37C1" w:rsidRDefault="005E37C1" w:rsidP="00187076">
            <w:r>
              <w:rPr>
                <w:rFonts w:hint="eastAsia"/>
              </w:rPr>
              <w:t>56</w:t>
            </w:r>
          </w:p>
        </w:tc>
        <w:tc>
          <w:tcPr>
            <w:tcW w:w="857" w:type="dxa"/>
            <w:hideMark/>
          </w:tcPr>
          <w:p w14:paraId="664683E2" w14:textId="77777777" w:rsidR="005E37C1" w:rsidRPr="005E37C1" w:rsidRDefault="005E37C1" w:rsidP="00187076">
            <w:r>
              <w:rPr>
                <w:rFonts w:hint="eastAsia"/>
              </w:rPr>
              <w:t>4</w:t>
            </w:r>
          </w:p>
        </w:tc>
        <w:tc>
          <w:tcPr>
            <w:tcW w:w="1396" w:type="dxa"/>
            <w:hideMark/>
          </w:tcPr>
          <w:p w14:paraId="3A3E596E" w14:textId="77777777" w:rsidR="005E37C1" w:rsidRPr="005E37C1" w:rsidRDefault="005E37C1" w:rsidP="00187076">
            <w:r>
              <w:rPr>
                <w:rFonts w:hint="eastAsia"/>
              </w:rPr>
              <w:t>0%</w:t>
            </w:r>
          </w:p>
        </w:tc>
      </w:tr>
    </w:tbl>
    <w:bookmarkEnd w:id="49"/>
    <w:bookmarkEnd w:id="50"/>
    <w:bookmarkEnd w:id="51"/>
    <w:p w14:paraId="4D8B801C"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物资配送优化结果揭示以下重要发现：（</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）就地避难人口显著扩大了物资需求。</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分区策略将约</w:t>
      </w:r>
      <w:r>
        <w:rPr>
          <w:rFonts w:ascii="Times New Roman" w:eastAsia="仿宋" w:hAnsi="Times New Roman" w:cs="Times New Roman" w:hint="eastAsia"/>
          <w:sz w:val="24"/>
          <w:szCs w:val="24"/>
        </w:rPr>
        <w:t>41.3</w:t>
      </w:r>
      <w:r>
        <w:rPr>
          <w:rFonts w:ascii="Times New Roman" w:eastAsia="仿宋" w:hAnsi="Times New Roman" w:cs="Times New Roman" w:hint="eastAsia"/>
          <w:sz w:val="24"/>
          <w:szCs w:val="24"/>
        </w:rPr>
        <w:t>万人划为就地避难，其防护设备和基础保障需求使配送任务从</w:t>
      </w:r>
      <w:r>
        <w:rPr>
          <w:rFonts w:ascii="Times New Roman" w:eastAsia="仿宋" w:hAnsi="Times New Roman" w:cs="Times New Roman" w:hint="eastAsia"/>
          <w:sz w:val="24"/>
          <w:szCs w:val="24"/>
        </w:rPr>
        <w:t>40</w:t>
      </w:r>
      <w:r>
        <w:rPr>
          <w:rFonts w:ascii="Times New Roman" w:eastAsia="仿宋" w:hAnsi="Times New Roman" w:cs="Times New Roman" w:hint="eastAsia"/>
          <w:sz w:val="24"/>
          <w:szCs w:val="24"/>
        </w:rPr>
        <w:t>项增至</w:t>
      </w:r>
      <w:r>
        <w:rPr>
          <w:rFonts w:ascii="Times New Roman" w:eastAsia="仿宋" w:hAnsi="Times New Roman" w:cs="Times New Roman" w:hint="eastAsia"/>
          <w:sz w:val="24"/>
          <w:szCs w:val="24"/>
        </w:rPr>
        <w:t>70</w:t>
      </w:r>
      <w:r>
        <w:rPr>
          <w:rFonts w:ascii="Times New Roman" w:eastAsia="仿宋" w:hAnsi="Times New Roman" w:cs="Times New Roman" w:hint="eastAsia"/>
          <w:sz w:val="24"/>
          <w:szCs w:val="24"/>
        </w:rPr>
        <w:t>项，体现了疏散与配送的实质耦合。纯货车方案完成</w:t>
      </w:r>
      <w:r>
        <w:rPr>
          <w:rFonts w:ascii="Times New Roman" w:eastAsia="仿宋" w:hAnsi="Times New Roman" w:cs="Times New Roman" w:hint="eastAsia"/>
          <w:sz w:val="24"/>
          <w:szCs w:val="24"/>
        </w:rPr>
        <w:t>64</w:t>
      </w:r>
      <w:r>
        <w:rPr>
          <w:rFonts w:ascii="Times New Roman" w:eastAsia="仿宋" w:hAnsi="Times New Roman" w:cs="Times New Roman" w:hint="eastAsia"/>
          <w:sz w:val="24"/>
          <w:szCs w:val="24"/>
        </w:rPr>
        <w:t>项任务（完成</w:t>
      </w:r>
      <w:r>
        <w:rPr>
          <w:rFonts w:ascii="Times New Roman" w:eastAsia="仿宋" w:hAnsi="Times New Roman" w:cs="Times New Roman" w:hint="eastAsia"/>
          <w:sz w:val="24"/>
          <w:szCs w:val="24"/>
        </w:rPr>
        <w:lastRenderedPageBreak/>
        <w:t>率</w:t>
      </w:r>
      <w:r>
        <w:rPr>
          <w:rFonts w:ascii="Times New Roman" w:eastAsia="仿宋" w:hAnsi="Times New Roman" w:cs="Times New Roman" w:hint="eastAsia"/>
          <w:sz w:val="24"/>
          <w:szCs w:val="24"/>
        </w:rPr>
        <w:t>91.4%</w:t>
      </w:r>
      <w:r>
        <w:rPr>
          <w:rFonts w:ascii="Times New Roman" w:eastAsia="仿宋" w:hAnsi="Times New Roman" w:cs="Times New Roman" w:hint="eastAsia"/>
          <w:sz w:val="24"/>
          <w:szCs w:val="24"/>
        </w:rPr>
        <w:t>），所有生命救援类物资均在</w:t>
      </w:r>
      <w:r>
        <w:rPr>
          <w:rFonts w:ascii="Times New Roman" w:eastAsia="仿宋" w:hAnsi="Times New Roman" w:cs="Times New Roman" w:hint="eastAsia"/>
          <w:sz w:val="24"/>
          <w:szCs w:val="24"/>
        </w:rPr>
        <w:t>30 min</w:t>
      </w:r>
      <w:r>
        <w:rPr>
          <w:rFonts w:ascii="Times New Roman" w:eastAsia="仿宋" w:hAnsi="Times New Roman" w:cs="Times New Roman" w:hint="eastAsia"/>
          <w:sz w:val="24"/>
          <w:szCs w:val="24"/>
        </w:rPr>
        <w:t>硬时间窗内送达。（</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）货车—无人机协同增加了接力配送能力。协同方案中</w:t>
      </w:r>
      <w:r>
        <w:rPr>
          <w:rFonts w:ascii="Times New Roman" w:eastAsia="仿宋" w:hAnsi="Times New Roman" w:cs="Times New Roman" w:hint="eastAsia"/>
          <w:sz w:val="24"/>
          <w:szCs w:val="24"/>
        </w:rPr>
        <w:t>28</w:t>
      </w:r>
      <w:r>
        <w:rPr>
          <w:rFonts w:ascii="Times New Roman" w:eastAsia="仿宋" w:hAnsi="Times New Roman" w:cs="Times New Roman" w:hint="eastAsia"/>
          <w:sz w:val="24"/>
          <w:szCs w:val="24"/>
        </w:rPr>
        <w:t>项任务通过货车直送完成，</w:t>
      </w:r>
      <w:r>
        <w:rPr>
          <w:rFonts w:ascii="Times New Roman" w:eastAsia="仿宋" w:hAnsi="Times New Roman" w:cs="Times New Roman" w:hint="eastAsia"/>
          <w:sz w:val="24"/>
          <w:szCs w:val="24"/>
        </w:rPr>
        <w:t>34</w:t>
      </w:r>
      <w:r>
        <w:rPr>
          <w:rFonts w:ascii="Times New Roman" w:eastAsia="仿宋" w:hAnsi="Times New Roman" w:cs="Times New Roman" w:hint="eastAsia"/>
          <w:sz w:val="24"/>
          <w:szCs w:val="24"/>
        </w:rPr>
        <w:t>项通过中转接力完成（较原场景的</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项显著增加），接力模式有效覆盖了封闭区内侧的需求点。但协同方案完成</w:t>
      </w:r>
      <w:r>
        <w:rPr>
          <w:rFonts w:ascii="Times New Roman" w:eastAsia="仿宋" w:hAnsi="Times New Roman" w:cs="Times New Roman" w:hint="eastAsia"/>
          <w:sz w:val="24"/>
          <w:szCs w:val="24"/>
        </w:rPr>
        <w:t>62</w:t>
      </w:r>
      <w:r>
        <w:rPr>
          <w:rFonts w:ascii="Times New Roman" w:eastAsia="仿宋" w:hAnsi="Times New Roman" w:cs="Times New Roman" w:hint="eastAsia"/>
          <w:sz w:val="24"/>
          <w:szCs w:val="24"/>
        </w:rPr>
        <w:t>项任务（较纯货车少</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项</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且</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从</w:t>
      </w:r>
      <w:r>
        <w:rPr>
          <w:rFonts w:ascii="Times New Roman" w:eastAsia="仿宋" w:hAnsi="Times New Roman" w:cs="Times New Roman" w:hint="eastAsia"/>
          <w:sz w:val="24"/>
          <w:szCs w:val="24"/>
        </w:rPr>
        <w:t>47.3</w:t>
      </w:r>
      <w:r>
        <w:rPr>
          <w:rFonts w:ascii="Times New Roman" w:eastAsia="仿宋" w:hAnsi="Times New Roman" w:cs="Times New Roman" w:hint="eastAsia"/>
          <w:sz w:val="24"/>
          <w:szCs w:val="24"/>
        </w:rPr>
        <w:t>增至</w:t>
      </w:r>
      <w:r>
        <w:rPr>
          <w:rFonts w:ascii="Times New Roman" w:eastAsia="仿宋" w:hAnsi="Times New Roman" w:cs="Times New Roman" w:hint="eastAsia"/>
          <w:sz w:val="24"/>
          <w:szCs w:val="24"/>
        </w:rPr>
        <w:t>59.9 min(+26.6%)</w:t>
      </w:r>
      <w:r>
        <w:rPr>
          <w:rFonts w:ascii="Times New Roman" w:eastAsia="仿宋" w:hAnsi="Times New Roman" w:cs="Times New Roman" w:hint="eastAsia"/>
          <w:sz w:val="24"/>
          <w:szCs w:val="24"/>
        </w:rPr>
        <w:t>），原因在于部分车辆执行接力任务耗时较长，减少了可用于其他任务的运力。（</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）纯无人机方案不可行，原因在于大部分物资需求量超出无人机</w:t>
      </w:r>
      <w:r>
        <w:rPr>
          <w:rFonts w:ascii="Times New Roman" w:eastAsia="仿宋" w:hAnsi="Times New Roman" w:cs="Times New Roman" w:hint="eastAsia"/>
          <w:sz w:val="24"/>
          <w:szCs w:val="24"/>
        </w:rPr>
        <w:t>25 kg</w:t>
      </w:r>
      <w:r>
        <w:rPr>
          <w:rFonts w:ascii="Times New Roman" w:eastAsia="仿宋" w:hAnsi="Times New Roman" w:cs="Times New Roman" w:hint="eastAsia"/>
          <w:sz w:val="24"/>
          <w:szCs w:val="24"/>
        </w:rPr>
        <w:t>的载重限制。（</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9</w:t>
      </w:r>
      <w:r>
        <w:rPr>
          <w:rFonts w:ascii="Times New Roman" w:eastAsia="仿宋" w:hAnsi="Times New Roman" w:cs="Times New Roman" w:hint="eastAsia"/>
          <w:sz w:val="24"/>
          <w:szCs w:val="24"/>
        </w:rPr>
        <w:t>项未完成任务集中在就地避难区域的大批量防护设备配送，反映了供应点库存约束——后续可通过增设应急仓库加以缓解。</w:t>
      </w:r>
    </w:p>
    <w:p w14:paraId="7BBE9D04"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4.4  </w:t>
      </w:r>
      <w:r>
        <w:rPr>
          <w:rFonts w:ascii="Times New Roman" w:eastAsia="仿宋" w:hAnsi="Times New Roman" w:cs="Times New Roman" w:hint="eastAsia"/>
          <w:color w:val="3B5AA2"/>
          <w:position w:val="16"/>
          <w:sz w:val="32"/>
        </w:rPr>
        <w:t>人员疏散优化结果</w:t>
      </w:r>
    </w:p>
    <w:p w14:paraId="5A9AA367"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疏散方案对比结果如表</w:t>
      </w:r>
      <w:r>
        <w:rPr>
          <w:rFonts w:ascii="Times New Roman" w:eastAsia="仿宋" w:hAnsi="Times New Roman" w:cs="Times New Roman" w:hint="eastAsia"/>
          <w:sz w:val="24"/>
          <w:szCs w:val="24"/>
        </w:rPr>
        <w:t>7</w:t>
      </w:r>
      <w:r>
        <w:rPr>
          <w:rFonts w:ascii="Times New Roman" w:eastAsia="仿宋" w:hAnsi="Times New Roman" w:cs="Times New Roman" w:hint="eastAsia"/>
          <w:sz w:val="24"/>
          <w:szCs w:val="24"/>
        </w:rPr>
        <w:t>所示。</w:t>
      </w:r>
    </w:p>
    <w:p w14:paraId="797B977B" w14:textId="77777777" w:rsidR="005E37C1" w:rsidRPr="005E37C1" w:rsidRDefault="005E37C1" w:rsidP="00DF582E">
      <w:pPr>
        <w:spacing w:after="120" w:line="360" w:lineRule="auto"/>
        <w:ind w:firstLine="420"/>
        <w:jc w:val="center"/>
      </w:pPr>
      <w:r>
        <w:rPr>
          <w:rFonts w:hint="eastAsia"/>
          <w:b/>
          <w:bCs/>
        </w:rPr>
        <w:t>表7  疏散方案对比 / Table 7  Evacuation scheme comparison</w:t>
      </w:r>
    </w:p>
    <w:tbl>
      <w:tblPr>
        <w:tblStyle w:val="ab"/>
        <w:tblW w:w="9026" w:type="dxa"/>
        <w:tblLook w:val="04A0" w:firstRow="1" w:lastRow="0" w:firstColumn="1" w:lastColumn="0" w:noHBand="0" w:noVBand="1"/>
      </w:tblPr>
      <w:tblGrid>
        <w:gridCol w:w="2200"/>
        <w:gridCol w:w="1700"/>
        <w:gridCol w:w="1700"/>
        <w:gridCol w:w="1700"/>
        <w:gridCol w:w="1726"/>
      </w:tblGrid>
      <w:tr w:rsidR="005E37C1" w:rsidRPr="00061B7F" w14:paraId="2685BE72" w14:textId="77777777" w:rsidTr="00061B7F">
        <w:tc>
          <w:tcPr>
            <w:tcW w:w="2200" w:type="dxa"/>
            <w:hideMark/>
          </w:tcPr>
          <w:p w14:paraId="156F4D8F" w14:textId="77777777" w:rsidR="005E37C1" w:rsidRPr="00061B7F" w:rsidRDefault="005E37C1" w:rsidP="00061B7F">
            <w:pPr>
              <w:jc w:val="center"/>
              <w:rPr>
                <w:sz w:val="18"/>
                <w:szCs w:val="18"/>
              </w:rPr>
            </w:pPr>
            <w:r w:rsidRPr="00061B7F">
              <w:rPr>
                <w:rFonts w:hint="eastAsia"/>
                <w:b/>
                <w:bCs/>
                <w:sz w:val="18"/>
                <w:szCs w:val="18"/>
              </w:rPr>
              <w:t>方案</w:t>
            </w:r>
          </w:p>
        </w:tc>
        <w:tc>
          <w:tcPr>
            <w:tcW w:w="1700" w:type="dxa"/>
            <w:hideMark/>
          </w:tcPr>
          <w:p w14:paraId="69FF34CC" w14:textId="77777777" w:rsidR="005E37C1" w:rsidRPr="00061B7F" w:rsidRDefault="005E37C1" w:rsidP="00061B7F">
            <w:pPr>
              <w:jc w:val="center"/>
              <w:rPr>
                <w:sz w:val="18"/>
                <w:szCs w:val="18"/>
              </w:rPr>
            </w:pPr>
            <w:r w:rsidRPr="00061B7F">
              <w:rPr>
                <w:rFonts w:hint="eastAsia"/>
                <w:b/>
                <w:bCs/>
                <w:sz w:val="18"/>
                <w:szCs w:val="18"/>
              </w:rPr>
              <w:t>已疏散(人)</w:t>
            </w:r>
          </w:p>
        </w:tc>
        <w:tc>
          <w:tcPr>
            <w:tcW w:w="1700" w:type="dxa"/>
            <w:hideMark/>
          </w:tcPr>
          <w:p w14:paraId="7E996BBE" w14:textId="77777777" w:rsidR="005E37C1" w:rsidRPr="00061B7F" w:rsidRDefault="005E37C1" w:rsidP="00061B7F">
            <w:pPr>
              <w:jc w:val="center"/>
              <w:rPr>
                <w:sz w:val="18"/>
                <w:szCs w:val="18"/>
              </w:rPr>
            </w:pPr>
            <w:r w:rsidRPr="00061B7F">
              <w:rPr>
                <w:rFonts w:hint="eastAsia"/>
                <w:b/>
                <w:bCs/>
                <w:sz w:val="18"/>
                <w:szCs w:val="18"/>
              </w:rPr>
              <w:t>未疏散(人)</w:t>
            </w:r>
          </w:p>
        </w:tc>
        <w:tc>
          <w:tcPr>
            <w:tcW w:w="1700" w:type="dxa"/>
            <w:hideMark/>
          </w:tcPr>
          <w:p w14:paraId="5EC75EF8" w14:textId="77777777" w:rsidR="005E37C1" w:rsidRPr="00061B7F" w:rsidRDefault="005E37C1" w:rsidP="00061B7F">
            <w:pPr>
              <w:jc w:val="center"/>
              <w:rPr>
                <w:sz w:val="18"/>
                <w:szCs w:val="18"/>
              </w:rPr>
            </w:pPr>
            <w:r w:rsidRPr="00061B7F">
              <w:rPr>
                <w:rFonts w:hint="eastAsia"/>
                <w:b/>
                <w:bCs/>
                <w:sz w:val="18"/>
                <w:szCs w:val="18"/>
              </w:rPr>
              <w:t>疏散率(%)</w:t>
            </w:r>
          </w:p>
        </w:tc>
        <w:tc>
          <w:tcPr>
            <w:tcW w:w="1726" w:type="dxa"/>
            <w:hideMark/>
          </w:tcPr>
          <w:p w14:paraId="21932F2E" w14:textId="77777777" w:rsidR="005E37C1" w:rsidRPr="00061B7F" w:rsidRDefault="005E37C1" w:rsidP="00061B7F">
            <w:pPr>
              <w:jc w:val="center"/>
              <w:rPr>
                <w:sz w:val="18"/>
                <w:szCs w:val="18"/>
              </w:rPr>
            </w:pPr>
            <w:r w:rsidRPr="00061B7F">
              <w:rPr>
                <w:rFonts w:hint="eastAsia"/>
                <w:b/>
                <w:bCs/>
                <w:sz w:val="18"/>
                <w:szCs w:val="18"/>
              </w:rPr>
              <w:t>累计风险</w:t>
            </w:r>
          </w:p>
        </w:tc>
      </w:tr>
      <w:tr w:rsidR="005E37C1" w:rsidRPr="00061B7F" w14:paraId="49BCA7A1" w14:textId="77777777" w:rsidTr="00061B7F">
        <w:tc>
          <w:tcPr>
            <w:tcW w:w="2200" w:type="dxa"/>
            <w:hideMark/>
          </w:tcPr>
          <w:p w14:paraId="73E7E0DF" w14:textId="77777777" w:rsidR="005E37C1" w:rsidRPr="00061B7F" w:rsidRDefault="005E37C1" w:rsidP="00061B7F">
            <w:pPr>
              <w:rPr>
                <w:sz w:val="18"/>
                <w:szCs w:val="18"/>
              </w:rPr>
            </w:pPr>
            <w:r w:rsidRPr="00061B7F">
              <w:rPr>
                <w:rFonts w:hint="eastAsia"/>
                <w:sz w:val="18"/>
                <w:szCs w:val="18"/>
              </w:rPr>
              <w:t>ERPG分区+弹性优先级（基准）</w:t>
            </w:r>
          </w:p>
        </w:tc>
        <w:tc>
          <w:tcPr>
            <w:tcW w:w="1700" w:type="dxa"/>
            <w:hideMark/>
          </w:tcPr>
          <w:p w14:paraId="21AAB377" w14:textId="77777777" w:rsidR="005E37C1" w:rsidRPr="00061B7F" w:rsidRDefault="005E37C1" w:rsidP="00061B7F">
            <w:pPr>
              <w:rPr>
                <w:sz w:val="18"/>
                <w:szCs w:val="18"/>
              </w:rPr>
            </w:pPr>
            <w:r w:rsidRPr="00061B7F">
              <w:rPr>
                <w:rFonts w:hint="eastAsia"/>
                <w:sz w:val="18"/>
                <w:szCs w:val="18"/>
              </w:rPr>
              <w:t>5,671</w:t>
            </w:r>
          </w:p>
        </w:tc>
        <w:tc>
          <w:tcPr>
            <w:tcW w:w="1700" w:type="dxa"/>
            <w:hideMark/>
          </w:tcPr>
          <w:p w14:paraId="2CB397A6" w14:textId="77777777" w:rsidR="005E37C1" w:rsidRPr="00061B7F" w:rsidRDefault="005E37C1" w:rsidP="00061B7F">
            <w:pPr>
              <w:rPr>
                <w:sz w:val="18"/>
                <w:szCs w:val="18"/>
              </w:rPr>
            </w:pPr>
            <w:r w:rsidRPr="00061B7F">
              <w:rPr>
                <w:rFonts w:hint="eastAsia"/>
                <w:sz w:val="18"/>
                <w:szCs w:val="18"/>
              </w:rPr>
              <w:t>8,159</w:t>
            </w:r>
          </w:p>
        </w:tc>
        <w:tc>
          <w:tcPr>
            <w:tcW w:w="1700" w:type="dxa"/>
            <w:hideMark/>
          </w:tcPr>
          <w:p w14:paraId="00CD96B9" w14:textId="77777777" w:rsidR="005E37C1" w:rsidRPr="00061B7F" w:rsidRDefault="005E37C1" w:rsidP="00061B7F">
            <w:pPr>
              <w:rPr>
                <w:sz w:val="18"/>
                <w:szCs w:val="18"/>
              </w:rPr>
            </w:pPr>
            <w:r w:rsidRPr="00061B7F">
              <w:rPr>
                <w:rFonts w:hint="eastAsia"/>
                <w:sz w:val="18"/>
                <w:szCs w:val="18"/>
              </w:rPr>
              <w:t>40.1</w:t>
            </w:r>
          </w:p>
        </w:tc>
        <w:tc>
          <w:tcPr>
            <w:tcW w:w="1726" w:type="dxa"/>
            <w:hideMark/>
          </w:tcPr>
          <w:p w14:paraId="6A1BDB65" w14:textId="77777777" w:rsidR="005E37C1" w:rsidRPr="00061B7F" w:rsidRDefault="005E37C1" w:rsidP="00061B7F">
            <w:pPr>
              <w:rPr>
                <w:sz w:val="18"/>
                <w:szCs w:val="18"/>
              </w:rPr>
            </w:pPr>
            <w:r w:rsidRPr="00061B7F">
              <w:rPr>
                <w:rFonts w:hint="eastAsia"/>
                <w:sz w:val="18"/>
                <w:szCs w:val="18"/>
              </w:rPr>
              <w:t>85,694</w:t>
            </w:r>
          </w:p>
        </w:tc>
      </w:tr>
      <w:tr w:rsidR="005E37C1" w:rsidRPr="00061B7F" w14:paraId="7EC69F21" w14:textId="77777777" w:rsidTr="00061B7F">
        <w:tc>
          <w:tcPr>
            <w:tcW w:w="2200" w:type="dxa"/>
            <w:hideMark/>
          </w:tcPr>
          <w:p w14:paraId="6577AD0B" w14:textId="77777777" w:rsidR="005E37C1" w:rsidRPr="00061B7F" w:rsidRDefault="005E37C1" w:rsidP="00061B7F">
            <w:pPr>
              <w:rPr>
                <w:sz w:val="18"/>
                <w:szCs w:val="18"/>
              </w:rPr>
            </w:pPr>
            <w:r w:rsidRPr="00061B7F">
              <w:rPr>
                <w:rFonts w:hint="eastAsia"/>
                <w:sz w:val="18"/>
                <w:szCs w:val="18"/>
              </w:rPr>
              <w:t>无直升机</w:t>
            </w:r>
          </w:p>
        </w:tc>
        <w:tc>
          <w:tcPr>
            <w:tcW w:w="1700" w:type="dxa"/>
            <w:hideMark/>
          </w:tcPr>
          <w:p w14:paraId="3B366BDE" w14:textId="77777777" w:rsidR="005E37C1" w:rsidRPr="00061B7F" w:rsidRDefault="005E37C1" w:rsidP="00061B7F">
            <w:pPr>
              <w:rPr>
                <w:sz w:val="18"/>
                <w:szCs w:val="18"/>
              </w:rPr>
            </w:pPr>
            <w:r w:rsidRPr="00061B7F">
              <w:rPr>
                <w:rFonts w:hint="eastAsia"/>
                <w:sz w:val="18"/>
                <w:szCs w:val="18"/>
              </w:rPr>
              <w:t>5,565</w:t>
            </w:r>
          </w:p>
        </w:tc>
        <w:tc>
          <w:tcPr>
            <w:tcW w:w="1700" w:type="dxa"/>
            <w:hideMark/>
          </w:tcPr>
          <w:p w14:paraId="31D4FA91" w14:textId="77777777" w:rsidR="005E37C1" w:rsidRPr="00061B7F" w:rsidRDefault="005E37C1" w:rsidP="00061B7F">
            <w:pPr>
              <w:rPr>
                <w:sz w:val="18"/>
                <w:szCs w:val="18"/>
              </w:rPr>
            </w:pPr>
            <w:r w:rsidRPr="00061B7F">
              <w:rPr>
                <w:rFonts w:hint="eastAsia"/>
                <w:sz w:val="18"/>
                <w:szCs w:val="18"/>
              </w:rPr>
              <w:t>8,265</w:t>
            </w:r>
          </w:p>
        </w:tc>
        <w:tc>
          <w:tcPr>
            <w:tcW w:w="1700" w:type="dxa"/>
            <w:hideMark/>
          </w:tcPr>
          <w:p w14:paraId="529D5B20" w14:textId="77777777" w:rsidR="005E37C1" w:rsidRPr="00061B7F" w:rsidRDefault="005E37C1" w:rsidP="00061B7F">
            <w:pPr>
              <w:rPr>
                <w:sz w:val="18"/>
                <w:szCs w:val="18"/>
              </w:rPr>
            </w:pPr>
            <w:r w:rsidRPr="00061B7F">
              <w:rPr>
                <w:rFonts w:hint="eastAsia"/>
                <w:sz w:val="18"/>
                <w:szCs w:val="18"/>
              </w:rPr>
              <w:t>40.2</w:t>
            </w:r>
          </w:p>
        </w:tc>
        <w:tc>
          <w:tcPr>
            <w:tcW w:w="1726" w:type="dxa"/>
            <w:hideMark/>
          </w:tcPr>
          <w:p w14:paraId="79BDBB48" w14:textId="77777777" w:rsidR="005E37C1" w:rsidRPr="00061B7F" w:rsidRDefault="005E37C1" w:rsidP="00061B7F">
            <w:pPr>
              <w:rPr>
                <w:sz w:val="18"/>
                <w:szCs w:val="18"/>
              </w:rPr>
            </w:pPr>
            <w:r w:rsidRPr="00061B7F">
              <w:rPr>
                <w:rFonts w:hint="eastAsia"/>
                <w:sz w:val="18"/>
                <w:szCs w:val="18"/>
              </w:rPr>
              <w:t>91,153</w:t>
            </w:r>
          </w:p>
        </w:tc>
      </w:tr>
      <w:tr w:rsidR="005E37C1" w:rsidRPr="00061B7F" w14:paraId="294A4672" w14:textId="77777777" w:rsidTr="00061B7F">
        <w:tc>
          <w:tcPr>
            <w:tcW w:w="2200" w:type="dxa"/>
            <w:hideMark/>
          </w:tcPr>
          <w:p w14:paraId="24D3BD6F" w14:textId="77777777" w:rsidR="005E37C1" w:rsidRPr="00061B7F" w:rsidRDefault="005E37C1" w:rsidP="00061B7F">
            <w:pPr>
              <w:rPr>
                <w:sz w:val="18"/>
                <w:szCs w:val="18"/>
              </w:rPr>
            </w:pPr>
            <w:r w:rsidRPr="00061B7F">
              <w:rPr>
                <w:rFonts w:hint="eastAsia"/>
                <w:sz w:val="18"/>
                <w:szCs w:val="18"/>
              </w:rPr>
              <w:t>无地铁</w:t>
            </w:r>
          </w:p>
        </w:tc>
        <w:tc>
          <w:tcPr>
            <w:tcW w:w="1700" w:type="dxa"/>
            <w:hideMark/>
          </w:tcPr>
          <w:p w14:paraId="6A171C52" w14:textId="77777777" w:rsidR="005E37C1" w:rsidRPr="00061B7F" w:rsidRDefault="005E37C1" w:rsidP="00061B7F">
            <w:pPr>
              <w:rPr>
                <w:sz w:val="18"/>
                <w:szCs w:val="18"/>
              </w:rPr>
            </w:pPr>
            <w:r w:rsidRPr="00061B7F">
              <w:rPr>
                <w:rFonts w:hint="eastAsia"/>
                <w:sz w:val="18"/>
                <w:szCs w:val="18"/>
              </w:rPr>
              <w:t>5,371</w:t>
            </w:r>
          </w:p>
        </w:tc>
        <w:tc>
          <w:tcPr>
            <w:tcW w:w="1700" w:type="dxa"/>
            <w:hideMark/>
          </w:tcPr>
          <w:p w14:paraId="13A65D31" w14:textId="77777777" w:rsidR="005E37C1" w:rsidRPr="00061B7F" w:rsidRDefault="005E37C1" w:rsidP="00061B7F">
            <w:pPr>
              <w:rPr>
                <w:sz w:val="18"/>
                <w:szCs w:val="18"/>
              </w:rPr>
            </w:pPr>
            <w:r w:rsidRPr="00061B7F">
              <w:rPr>
                <w:rFonts w:hint="eastAsia"/>
                <w:sz w:val="18"/>
                <w:szCs w:val="18"/>
              </w:rPr>
              <w:t>8,459</w:t>
            </w:r>
          </w:p>
        </w:tc>
        <w:tc>
          <w:tcPr>
            <w:tcW w:w="1700" w:type="dxa"/>
            <w:hideMark/>
          </w:tcPr>
          <w:p w14:paraId="7051EDC0" w14:textId="77777777" w:rsidR="005E37C1" w:rsidRPr="00061B7F" w:rsidRDefault="005E37C1" w:rsidP="00061B7F">
            <w:pPr>
              <w:rPr>
                <w:sz w:val="18"/>
                <w:szCs w:val="18"/>
              </w:rPr>
            </w:pPr>
            <w:r w:rsidRPr="00061B7F">
              <w:rPr>
                <w:rFonts w:hint="eastAsia"/>
                <w:sz w:val="18"/>
                <w:szCs w:val="18"/>
              </w:rPr>
              <w:t>38.8</w:t>
            </w:r>
          </w:p>
        </w:tc>
        <w:tc>
          <w:tcPr>
            <w:tcW w:w="1726" w:type="dxa"/>
            <w:hideMark/>
          </w:tcPr>
          <w:p w14:paraId="121ACD7F" w14:textId="77777777" w:rsidR="005E37C1" w:rsidRPr="00061B7F" w:rsidRDefault="005E37C1" w:rsidP="00061B7F">
            <w:pPr>
              <w:rPr>
                <w:sz w:val="18"/>
                <w:szCs w:val="18"/>
              </w:rPr>
            </w:pPr>
            <w:r w:rsidRPr="00061B7F">
              <w:rPr>
                <w:rFonts w:hint="eastAsia"/>
                <w:sz w:val="18"/>
                <w:szCs w:val="18"/>
              </w:rPr>
              <w:t>84,845</w:t>
            </w:r>
          </w:p>
        </w:tc>
      </w:tr>
      <w:tr w:rsidR="005E37C1" w:rsidRPr="00061B7F" w14:paraId="5DAD6056" w14:textId="77777777" w:rsidTr="00061B7F">
        <w:tc>
          <w:tcPr>
            <w:tcW w:w="2200" w:type="dxa"/>
            <w:hideMark/>
          </w:tcPr>
          <w:p w14:paraId="217D5DEE" w14:textId="77777777" w:rsidR="005E37C1" w:rsidRPr="00061B7F" w:rsidRDefault="005E37C1" w:rsidP="00061B7F">
            <w:pPr>
              <w:rPr>
                <w:sz w:val="18"/>
                <w:szCs w:val="18"/>
              </w:rPr>
            </w:pPr>
            <w:r w:rsidRPr="00061B7F">
              <w:rPr>
                <w:rFonts w:hint="eastAsia"/>
                <w:sz w:val="18"/>
                <w:szCs w:val="18"/>
              </w:rPr>
              <w:t>严格优先级</w:t>
            </w:r>
          </w:p>
        </w:tc>
        <w:tc>
          <w:tcPr>
            <w:tcW w:w="1700" w:type="dxa"/>
            <w:hideMark/>
          </w:tcPr>
          <w:p w14:paraId="6189371F" w14:textId="77777777" w:rsidR="005E37C1" w:rsidRPr="00061B7F" w:rsidRDefault="005E37C1" w:rsidP="00061B7F">
            <w:pPr>
              <w:rPr>
                <w:sz w:val="18"/>
                <w:szCs w:val="18"/>
              </w:rPr>
            </w:pPr>
            <w:r w:rsidRPr="00061B7F">
              <w:rPr>
                <w:rFonts w:hint="eastAsia"/>
                <w:sz w:val="18"/>
                <w:szCs w:val="18"/>
              </w:rPr>
              <w:t>5,671</w:t>
            </w:r>
          </w:p>
        </w:tc>
        <w:tc>
          <w:tcPr>
            <w:tcW w:w="1700" w:type="dxa"/>
            <w:hideMark/>
          </w:tcPr>
          <w:p w14:paraId="68147AEC" w14:textId="77777777" w:rsidR="005E37C1" w:rsidRPr="00061B7F" w:rsidRDefault="005E37C1" w:rsidP="00061B7F">
            <w:pPr>
              <w:rPr>
                <w:sz w:val="18"/>
                <w:szCs w:val="18"/>
              </w:rPr>
            </w:pPr>
            <w:r w:rsidRPr="00061B7F">
              <w:rPr>
                <w:rFonts w:hint="eastAsia"/>
                <w:sz w:val="18"/>
                <w:szCs w:val="18"/>
              </w:rPr>
              <w:t>8,159</w:t>
            </w:r>
          </w:p>
        </w:tc>
        <w:tc>
          <w:tcPr>
            <w:tcW w:w="1700" w:type="dxa"/>
            <w:hideMark/>
          </w:tcPr>
          <w:p w14:paraId="74BCA7B1" w14:textId="77777777" w:rsidR="005E37C1" w:rsidRPr="00061B7F" w:rsidRDefault="005E37C1" w:rsidP="00061B7F">
            <w:pPr>
              <w:rPr>
                <w:sz w:val="18"/>
                <w:szCs w:val="18"/>
              </w:rPr>
            </w:pPr>
            <w:r w:rsidRPr="00061B7F">
              <w:rPr>
                <w:rFonts w:hint="eastAsia"/>
                <w:sz w:val="18"/>
                <w:szCs w:val="18"/>
              </w:rPr>
              <w:t>40.1</w:t>
            </w:r>
          </w:p>
        </w:tc>
        <w:tc>
          <w:tcPr>
            <w:tcW w:w="1726" w:type="dxa"/>
            <w:hideMark/>
          </w:tcPr>
          <w:p w14:paraId="047A2A17" w14:textId="77777777" w:rsidR="005E37C1" w:rsidRPr="00061B7F" w:rsidRDefault="005E37C1" w:rsidP="00061B7F">
            <w:pPr>
              <w:rPr>
                <w:sz w:val="18"/>
                <w:szCs w:val="18"/>
              </w:rPr>
            </w:pPr>
            <w:r w:rsidRPr="00061B7F">
              <w:rPr>
                <w:rFonts w:hint="eastAsia"/>
                <w:sz w:val="18"/>
                <w:szCs w:val="18"/>
              </w:rPr>
              <w:t>85,694</w:t>
            </w:r>
          </w:p>
        </w:tc>
      </w:tr>
    </w:tbl>
    <w:p w14:paraId="760CF70B" w14:textId="69FB1B14" w:rsidR="00700088" w:rsidRDefault="00483B83"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614AC22E" wp14:editId="5DF5A2B0">
            <wp:extent cx="5731510" cy="2023110"/>
            <wp:effectExtent l="0" t="0" r="0" b="0"/>
            <wp:docPr id="17454141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1745414102"/>
                    <pic:cNvPicPr/>
                  </pic:nvPicPr>
                  <pic:blipFill>
                    <a:blip r:embed="rId8">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6A6E567B" w14:textId="77777777" w:rsidR="00613BFA" w:rsidRPr="00700088" w:rsidRDefault="00700088" w:rsidP="00700088">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3</w:t>
      </w:r>
      <w:r>
        <w:rPr>
          <w:rFonts w:ascii="Times New Roman" w:eastAsia="仿宋" w:hAnsi="Times New Roman" w:cs="Times New Roman"/>
          <w:sz w:val="24"/>
          <w:szCs w:val="24"/>
        </w:rPr>
        <w:t xml:space="preserve">　</w:t>
      </w:r>
      <w:bookmarkStart w:id="52" w:name="OLE_LINK79"/>
      <w:bookmarkStart w:id="53" w:name="OLE_LINK80"/>
      <w:r>
        <w:rPr>
          <w:rFonts w:ascii="Times New Roman" w:eastAsia="仿宋" w:hAnsi="Times New Roman" w:cs="Times New Roman"/>
          <w:sz w:val="24"/>
          <w:szCs w:val="24"/>
        </w:rPr>
        <w:t>疏散优化结果：</w:t>
      </w:r>
      <w:r>
        <w:rPr>
          <w:rFonts w:ascii="Times New Roman" w:eastAsia="仿宋" w:hAnsi="Times New Roman" w:cs="Times New Roman"/>
          <w:sz w:val="24"/>
          <w:szCs w:val="24"/>
        </w:rPr>
        <w:t>(a)</w:t>
      </w:r>
      <w:r>
        <w:rPr>
          <w:rFonts w:ascii="Times New Roman" w:eastAsia="仿宋" w:hAnsi="Times New Roman" w:cs="Times New Roman"/>
          <w:sz w:val="24"/>
          <w:szCs w:val="24"/>
        </w:rPr>
        <w:t>疏散完成率对比；</w:t>
      </w:r>
      <w:r>
        <w:rPr>
          <w:rFonts w:ascii="Times New Roman" w:eastAsia="仿宋" w:hAnsi="Times New Roman" w:cs="Times New Roman"/>
          <w:sz w:val="24"/>
          <w:szCs w:val="24"/>
        </w:rPr>
        <w:t>(b)</w:t>
      </w:r>
      <w:r>
        <w:rPr>
          <w:rFonts w:ascii="Times New Roman" w:eastAsia="仿宋" w:hAnsi="Times New Roman" w:cs="Times New Roman"/>
          <w:sz w:val="24"/>
          <w:szCs w:val="24"/>
        </w:rPr>
        <w:t>累计风险对比；</w:t>
      </w:r>
      <w:r>
        <w:rPr>
          <w:rFonts w:ascii="Times New Roman" w:eastAsia="仿宋" w:hAnsi="Times New Roman" w:cs="Times New Roman"/>
          <w:sz w:val="24"/>
          <w:szCs w:val="24"/>
        </w:rPr>
        <w:t>(c)</w:t>
      </w:r>
      <w:r>
        <w:rPr>
          <w:rFonts w:ascii="Times New Roman" w:eastAsia="仿宋" w:hAnsi="Times New Roman" w:cs="Times New Roman"/>
          <w:sz w:val="24"/>
          <w:szCs w:val="24"/>
        </w:rPr>
        <w:t>救护车敏感性。</w:t>
      </w:r>
      <w:bookmarkEnd w:id="52"/>
      <w:bookmarkEnd w:id="53"/>
    </w:p>
    <w:p w14:paraId="4EF95E8D"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疏散分析揭示以下关键发现：（</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分区策略有效聚焦疏散资源。基于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浓度分区的差异化响应策略将需主动疏散人口从传统圆形范围的</w:t>
      </w:r>
      <w:r>
        <w:rPr>
          <w:rFonts w:ascii="Times New Roman" w:eastAsia="仿宋" w:hAnsi="Times New Roman" w:cs="Times New Roman" w:hint="eastAsia"/>
          <w:sz w:val="24"/>
          <w:szCs w:val="24"/>
        </w:rPr>
        <w:t>23.5</w:t>
      </w:r>
      <w:r>
        <w:rPr>
          <w:rFonts w:ascii="Times New Roman" w:eastAsia="仿宋" w:hAnsi="Times New Roman" w:cs="Times New Roman" w:hint="eastAsia"/>
          <w:sz w:val="24"/>
          <w:szCs w:val="24"/>
        </w:rPr>
        <w:t>万人缩减至</w:t>
      </w:r>
      <w:r>
        <w:rPr>
          <w:rFonts w:ascii="Times New Roman" w:eastAsia="仿宋" w:hAnsi="Times New Roman" w:cs="Times New Roman" w:hint="eastAsia"/>
          <w:sz w:val="24"/>
          <w:szCs w:val="24"/>
        </w:rPr>
        <w:t>1.38</w:t>
      </w:r>
      <w:r>
        <w:rPr>
          <w:rFonts w:ascii="Times New Roman" w:eastAsia="仿宋" w:hAnsi="Times New Roman" w:cs="Times New Roman" w:hint="eastAsia"/>
          <w:sz w:val="24"/>
          <w:szCs w:val="24"/>
        </w:rPr>
        <w:t>万人，基准方案</w:t>
      </w:r>
      <w:r>
        <w:rPr>
          <w:rFonts w:ascii="Times New Roman" w:eastAsia="仿宋" w:hAnsi="Times New Roman" w:cs="Times New Roman" w:hint="eastAsia"/>
          <w:sz w:val="24"/>
          <w:szCs w:val="24"/>
        </w:rPr>
        <w:t>180 min</w:t>
      </w:r>
      <w:r>
        <w:rPr>
          <w:rFonts w:ascii="Times New Roman" w:eastAsia="仿宋" w:hAnsi="Times New Roman" w:cs="Times New Roman" w:hint="eastAsia"/>
          <w:sz w:val="24"/>
          <w:szCs w:val="24"/>
        </w:rPr>
        <w:t>内疏散率达</w:t>
      </w: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5,671</w:t>
      </w:r>
      <w:r>
        <w:rPr>
          <w:rFonts w:ascii="Times New Roman" w:eastAsia="仿宋" w:hAnsi="Times New Roman" w:cs="Times New Roman" w:hint="eastAsia"/>
          <w:sz w:val="24"/>
          <w:szCs w:val="24"/>
        </w:rPr>
        <w:t>人），相比无分区策略的显著低于显著提升。（</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类脆弱群体实现完全疏散。</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区域内</w:t>
      </w:r>
      <w:r>
        <w:rPr>
          <w:rFonts w:ascii="Times New Roman" w:eastAsia="仿宋" w:hAnsi="Times New Roman" w:cs="Times New Roman" w:hint="eastAsia"/>
          <w:sz w:val="24"/>
          <w:szCs w:val="24"/>
        </w:rPr>
        <w:t>5,302</w:t>
      </w:r>
      <w:r>
        <w:rPr>
          <w:rFonts w:ascii="Times New Roman" w:eastAsia="仿宋" w:hAnsi="Times New Roman" w:cs="Times New Roman" w:hint="eastAsia"/>
          <w:sz w:val="24"/>
          <w:szCs w:val="24"/>
        </w:rPr>
        <w:t>名老人、儿童和残障人士全部疏散（</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完成率），该区域整体疏散率达</w:t>
      </w:r>
      <w:r>
        <w:rPr>
          <w:rFonts w:ascii="Times New Roman" w:eastAsia="仿宋" w:hAnsi="Times New Roman" w:cs="Times New Roman" w:hint="eastAsia"/>
          <w:sz w:val="24"/>
          <w:szCs w:val="24"/>
        </w:rPr>
        <w:t>93.1%</w:t>
      </w:r>
      <w:r>
        <w:rPr>
          <w:rFonts w:ascii="Times New Roman" w:eastAsia="仿宋" w:hAnsi="Times New Roman" w:cs="Times New Roman" w:hint="eastAsia"/>
          <w:sz w:val="24"/>
          <w:szCs w:val="24"/>
        </w:rPr>
        <w:t>，验证了优先级调度</w:t>
      </w:r>
      <w:r>
        <w:rPr>
          <w:rFonts w:ascii="Times New Roman" w:eastAsia="仿宋" w:hAnsi="Times New Roman" w:cs="Times New Roman" w:hint="eastAsia"/>
          <w:sz w:val="24"/>
          <w:szCs w:val="24"/>
        </w:rPr>
        <w:lastRenderedPageBreak/>
        <w:t>对脆弱群体的保护效果。（</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类重伤人员成为新的瓶颈。由于</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类仅可使用救护车和直升机，而</w:t>
      </w:r>
      <w:r>
        <w:rPr>
          <w:rFonts w:ascii="Times New Roman" w:eastAsia="仿宋" w:hAnsi="Times New Roman" w:cs="Times New Roman" w:hint="eastAsia"/>
          <w:sz w:val="24"/>
          <w:szCs w:val="24"/>
        </w:rPr>
        <w:t>ERPG-1</w:t>
      </w:r>
      <w:r>
        <w:rPr>
          <w:rFonts w:ascii="Times New Roman" w:eastAsia="仿宋" w:hAnsi="Times New Roman" w:cs="Times New Roman" w:hint="eastAsia"/>
          <w:sz w:val="24"/>
          <w:szCs w:val="24"/>
        </w:rPr>
        <w:t>区域按</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比例估算的重伤人口高达约</w:t>
      </w:r>
      <w:r>
        <w:rPr>
          <w:rFonts w:ascii="Times New Roman" w:eastAsia="仿宋" w:hAnsi="Times New Roman" w:cs="Times New Roman" w:hint="eastAsia"/>
          <w:sz w:val="24"/>
          <w:szCs w:val="24"/>
        </w:rPr>
        <w:t>8,100</w:t>
      </w:r>
      <w:r>
        <w:rPr>
          <w:rFonts w:ascii="Times New Roman" w:eastAsia="仿宋" w:hAnsi="Times New Roman" w:cs="Times New Roman" w:hint="eastAsia"/>
          <w:sz w:val="24"/>
          <w:szCs w:val="24"/>
        </w:rPr>
        <w:t>人，远超</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辆救护车和</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架直升机的运力上限，导致</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疏散率仅为</w:t>
      </w:r>
      <w:r>
        <w:rPr>
          <w:rFonts w:ascii="Times New Roman" w:eastAsia="仿宋" w:hAnsi="Times New Roman" w:cs="Times New Roman" w:hint="eastAsia"/>
          <w:sz w:val="24"/>
          <w:szCs w:val="24"/>
        </w:rPr>
        <w:t>2.8%</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243</w:t>
      </w:r>
      <w:r>
        <w:rPr>
          <w:rFonts w:ascii="Times New Roman" w:eastAsia="仿宋" w:hAnsi="Times New Roman" w:cs="Times New Roman" w:hint="eastAsia"/>
          <w:sz w:val="24"/>
          <w:szCs w:val="24"/>
        </w:rPr>
        <w:t>人）。（</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）移除直升机后疏散率从</w:t>
      </w: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降至</w:t>
      </w:r>
      <w:r>
        <w:rPr>
          <w:rFonts w:ascii="Times New Roman" w:eastAsia="仿宋" w:hAnsi="Times New Roman" w:cs="Times New Roman" w:hint="eastAsia"/>
          <w:sz w:val="24"/>
          <w:szCs w:val="24"/>
        </w:rPr>
        <w:t>40.2%</w:t>
      </w:r>
      <w:r>
        <w:rPr>
          <w:rFonts w:ascii="Times New Roman" w:eastAsia="仿宋" w:hAnsi="Times New Roman" w:cs="Times New Roman" w:hint="eastAsia"/>
          <w:sz w:val="24"/>
          <w:szCs w:val="24"/>
        </w:rPr>
        <w:t>，累计风险从</w:t>
      </w:r>
      <w:r>
        <w:rPr>
          <w:rFonts w:ascii="Times New Roman" w:eastAsia="仿宋" w:hAnsi="Times New Roman" w:cs="Times New Roman" w:hint="eastAsia"/>
          <w:sz w:val="24"/>
          <w:szCs w:val="24"/>
        </w:rPr>
        <w:t>85,694</w:t>
      </w:r>
      <w:r>
        <w:rPr>
          <w:rFonts w:ascii="Times New Roman" w:eastAsia="仿宋" w:hAnsi="Times New Roman" w:cs="Times New Roman" w:hint="eastAsia"/>
          <w:sz w:val="24"/>
          <w:szCs w:val="24"/>
        </w:rPr>
        <w:t>增至</w:t>
      </w:r>
      <w:r>
        <w:rPr>
          <w:rFonts w:ascii="Times New Roman" w:eastAsia="仿宋" w:hAnsi="Times New Roman" w:cs="Times New Roman" w:hint="eastAsia"/>
          <w:sz w:val="24"/>
          <w:szCs w:val="24"/>
        </w:rPr>
        <w:t>91,153</w:t>
      </w:r>
      <w:r>
        <w:rPr>
          <w:rFonts w:ascii="Times New Roman" w:eastAsia="仿宋" w:hAnsi="Times New Roman" w:cs="Times New Roman" w:hint="eastAsia"/>
          <w:sz w:val="24"/>
          <w:szCs w:val="24"/>
        </w:rPr>
        <w:t>（增加</w:t>
      </w:r>
      <w:r>
        <w:rPr>
          <w:rFonts w:ascii="Times New Roman" w:eastAsia="仿宋" w:hAnsi="Times New Roman" w:cs="Times New Roman" w:hint="eastAsia"/>
          <w:sz w:val="24"/>
          <w:szCs w:val="24"/>
        </w:rPr>
        <w:t>6.4%</w:t>
      </w:r>
      <w:r>
        <w:rPr>
          <w:rFonts w:ascii="Times New Roman" w:eastAsia="仿宋" w:hAnsi="Times New Roman" w:cs="Times New Roman" w:hint="eastAsia"/>
          <w:sz w:val="24"/>
          <w:szCs w:val="24"/>
        </w:rPr>
        <w:t>），主要体现在重伤人员等待时间延长。（</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）移除地铁的影响较预期小（</w:t>
      </w: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38.8%</w:t>
      </w:r>
      <w:r>
        <w:rPr>
          <w:rFonts w:ascii="Times New Roman" w:eastAsia="仿宋" w:hAnsi="Times New Roman" w:cs="Times New Roman" w:hint="eastAsia"/>
          <w:sz w:val="24"/>
          <w:szCs w:val="24"/>
        </w:rPr>
        <w:t>），因为当前</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分区策略下的疏散人群以</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为主，地铁主要服务</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，而</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已由公交和私家车覆盖——但地铁对就地避难区域的人员自发疏散仍具潜在价值。（</w:t>
      </w: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）弹性优先级与严格优先级的疏散率相同（均为</w:t>
      </w: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），原因在于当前场景中没有</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类人群被纳入疏散范围（</w:t>
      </w:r>
      <w:r>
        <w:rPr>
          <w:rFonts w:ascii="Times New Roman" w:eastAsia="仿宋" w:hAnsi="Times New Roman" w:cs="Times New Roman" w:hint="eastAsia"/>
          <w:sz w:val="24"/>
          <w:szCs w:val="24"/>
        </w:rPr>
        <w:t>ERPG-3</w:t>
      </w:r>
      <w:r>
        <w:rPr>
          <w:rFonts w:ascii="Times New Roman" w:eastAsia="仿宋" w:hAnsi="Times New Roman" w:cs="Times New Roman" w:hint="eastAsia"/>
          <w:sz w:val="24"/>
          <w:szCs w:val="24"/>
        </w:rPr>
        <w:t>区域人口为零，</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区</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就地避难），两种策略的差异将在更大封闭区或更高泄漏速率场景下显现。</w:t>
      </w:r>
    </w:p>
    <w:p w14:paraId="4FAD2C9A"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4.5  </w:t>
      </w:r>
      <w:r>
        <w:rPr>
          <w:rFonts w:ascii="Times New Roman" w:eastAsia="仿宋" w:hAnsi="Times New Roman" w:cs="Times New Roman" w:hint="eastAsia"/>
          <w:color w:val="3B5AA2"/>
          <w:position w:val="16"/>
          <w:sz w:val="32"/>
        </w:rPr>
        <w:t>韧性评估结果</w:t>
      </w:r>
    </w:p>
    <w:p w14:paraId="4194E092"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三维韧性评估结果如表</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所示。</w:t>
      </w:r>
    </w:p>
    <w:p w14:paraId="0778059A" w14:textId="77777777" w:rsidR="005E37C1" w:rsidRPr="005E37C1" w:rsidRDefault="005E37C1" w:rsidP="00AE5B9D">
      <w:pPr>
        <w:spacing w:after="120" w:line="360" w:lineRule="auto"/>
        <w:ind w:firstLine="420"/>
        <w:jc w:val="center"/>
      </w:pPr>
      <w:r>
        <w:rPr>
          <w:rFonts w:hint="eastAsia"/>
          <w:b/>
          <w:bCs/>
        </w:rPr>
        <w:t>表8  韧性评估结果 / Table 8  Resilience assessment results</w:t>
      </w:r>
    </w:p>
    <w:tbl>
      <w:tblPr>
        <w:tblStyle w:val="ab"/>
        <w:tblW w:w="9026" w:type="dxa"/>
        <w:tblLook w:val="04A0" w:firstRow="1" w:lastRow="0" w:firstColumn="1" w:lastColumn="0" w:noHBand="0" w:noVBand="1"/>
      </w:tblPr>
      <w:tblGrid>
        <w:gridCol w:w="1800"/>
        <w:gridCol w:w="3600"/>
        <w:gridCol w:w="3626"/>
      </w:tblGrid>
      <w:tr w:rsidR="005E37C1" w:rsidRPr="00AE5B9D" w14:paraId="1663DA99" w14:textId="77777777" w:rsidTr="00AE5B9D">
        <w:tc>
          <w:tcPr>
            <w:tcW w:w="1800" w:type="dxa"/>
            <w:hideMark/>
          </w:tcPr>
          <w:p w14:paraId="227BA024" w14:textId="77777777" w:rsidR="005E37C1" w:rsidRPr="00AE5B9D" w:rsidRDefault="005E37C1" w:rsidP="00AE5B9D">
            <w:pPr>
              <w:jc w:val="center"/>
              <w:rPr>
                <w:sz w:val="18"/>
                <w:szCs w:val="18"/>
              </w:rPr>
            </w:pPr>
            <w:r w:rsidRPr="00AE5B9D">
              <w:rPr>
                <w:rFonts w:hint="eastAsia"/>
                <w:b/>
                <w:bCs/>
                <w:sz w:val="18"/>
                <w:szCs w:val="18"/>
              </w:rPr>
              <w:t>维度</w:t>
            </w:r>
          </w:p>
        </w:tc>
        <w:tc>
          <w:tcPr>
            <w:tcW w:w="3600" w:type="dxa"/>
            <w:hideMark/>
          </w:tcPr>
          <w:p w14:paraId="7BBB4B95" w14:textId="77777777" w:rsidR="005E37C1" w:rsidRPr="00AE5B9D" w:rsidRDefault="005E37C1" w:rsidP="00AE5B9D">
            <w:pPr>
              <w:jc w:val="center"/>
              <w:rPr>
                <w:sz w:val="18"/>
                <w:szCs w:val="18"/>
              </w:rPr>
            </w:pPr>
            <w:r w:rsidRPr="00AE5B9D">
              <w:rPr>
                <w:rFonts w:hint="eastAsia"/>
                <w:b/>
                <w:bCs/>
                <w:sz w:val="18"/>
                <w:szCs w:val="18"/>
              </w:rPr>
              <w:t>指标</w:t>
            </w:r>
          </w:p>
        </w:tc>
        <w:tc>
          <w:tcPr>
            <w:tcW w:w="3626" w:type="dxa"/>
            <w:hideMark/>
          </w:tcPr>
          <w:p w14:paraId="5B4F9068" w14:textId="77777777" w:rsidR="005E37C1" w:rsidRPr="00AE5B9D" w:rsidRDefault="005E37C1" w:rsidP="00AE5B9D">
            <w:pPr>
              <w:jc w:val="center"/>
              <w:rPr>
                <w:sz w:val="18"/>
                <w:szCs w:val="18"/>
              </w:rPr>
            </w:pPr>
            <w:r w:rsidRPr="00AE5B9D">
              <w:rPr>
                <w:rFonts w:hint="eastAsia"/>
                <w:b/>
                <w:bCs/>
                <w:sz w:val="18"/>
                <w:szCs w:val="18"/>
              </w:rPr>
              <w:t>数值</w:t>
            </w:r>
          </w:p>
        </w:tc>
      </w:tr>
      <w:tr w:rsidR="005E37C1" w:rsidRPr="00AE5B9D" w14:paraId="076B9559" w14:textId="77777777" w:rsidTr="00AE5B9D">
        <w:tc>
          <w:tcPr>
            <w:tcW w:w="1800" w:type="dxa"/>
            <w:hideMark/>
          </w:tcPr>
          <w:p w14:paraId="0FC5D9E1" w14:textId="77777777" w:rsidR="005E37C1" w:rsidRPr="00AE5B9D" w:rsidRDefault="005E37C1" w:rsidP="00AE5B9D">
            <w:pPr>
              <w:rPr>
                <w:sz w:val="18"/>
                <w:szCs w:val="18"/>
              </w:rPr>
            </w:pPr>
            <w:r w:rsidRPr="00AE5B9D">
              <w:rPr>
                <w:rFonts w:hint="eastAsia"/>
                <w:sz w:val="18"/>
                <w:szCs w:val="18"/>
              </w:rPr>
              <w:t>结构韧性</w:t>
            </w:r>
          </w:p>
        </w:tc>
        <w:tc>
          <w:tcPr>
            <w:tcW w:w="3600" w:type="dxa"/>
            <w:hideMark/>
          </w:tcPr>
          <w:p w14:paraId="34444C5A" w14:textId="77777777" w:rsidR="005E37C1" w:rsidRPr="00AE5B9D" w:rsidRDefault="005E37C1" w:rsidP="00AE5B9D">
            <w:pPr>
              <w:rPr>
                <w:sz w:val="18"/>
                <w:szCs w:val="18"/>
              </w:rPr>
            </w:pPr>
            <w:r w:rsidRPr="00AE5B9D">
              <w:rPr>
                <w:rFonts w:hint="eastAsia"/>
                <w:sz w:val="18"/>
                <w:szCs w:val="18"/>
              </w:rPr>
              <w:t>道路封闭比例（1km/5km）</w:t>
            </w:r>
          </w:p>
        </w:tc>
        <w:tc>
          <w:tcPr>
            <w:tcW w:w="3626" w:type="dxa"/>
            <w:hideMark/>
          </w:tcPr>
          <w:p w14:paraId="3B31FAB4" w14:textId="77777777" w:rsidR="005E37C1" w:rsidRPr="00AE5B9D" w:rsidRDefault="005E37C1" w:rsidP="00AE5B9D">
            <w:pPr>
              <w:rPr>
                <w:sz w:val="18"/>
                <w:szCs w:val="18"/>
              </w:rPr>
            </w:pPr>
            <w:r w:rsidRPr="00AE5B9D">
              <w:rPr>
                <w:rFonts w:hint="eastAsia"/>
                <w:sz w:val="18"/>
                <w:szCs w:val="18"/>
              </w:rPr>
              <w:t>1显著低于（96.7/505.3 km）</w:t>
            </w:r>
          </w:p>
        </w:tc>
      </w:tr>
      <w:tr w:rsidR="005E37C1" w:rsidRPr="00AE5B9D" w14:paraId="4E5E96A3" w14:textId="77777777" w:rsidTr="00AE5B9D">
        <w:tc>
          <w:tcPr>
            <w:tcW w:w="1800" w:type="dxa"/>
            <w:hideMark/>
          </w:tcPr>
          <w:p w14:paraId="454D3586" w14:textId="77777777" w:rsidR="005E37C1" w:rsidRPr="00AE5B9D" w:rsidRDefault="005E37C1" w:rsidP="00AE5B9D">
            <w:pPr>
              <w:rPr>
                <w:sz w:val="18"/>
                <w:szCs w:val="18"/>
              </w:rPr>
            </w:pPr>
            <w:r w:rsidRPr="00AE5B9D">
              <w:rPr>
                <w:rFonts w:hint="eastAsia"/>
                <w:sz w:val="18"/>
                <w:szCs w:val="18"/>
              </w:rPr>
              <w:t>功能韧性</w:t>
            </w:r>
          </w:p>
        </w:tc>
        <w:tc>
          <w:tcPr>
            <w:tcW w:w="3600" w:type="dxa"/>
            <w:hideMark/>
          </w:tcPr>
          <w:p w14:paraId="3E0B2661" w14:textId="77777777" w:rsidR="005E37C1" w:rsidRPr="00AE5B9D" w:rsidRDefault="005E37C1" w:rsidP="00AE5B9D">
            <w:pPr>
              <w:rPr>
                <w:sz w:val="18"/>
                <w:szCs w:val="18"/>
              </w:rPr>
            </w:pPr>
            <w:r w:rsidRPr="00AE5B9D">
              <w:rPr>
                <w:rFonts w:hint="eastAsia"/>
                <w:sz w:val="18"/>
                <w:szCs w:val="18"/>
              </w:rPr>
              <w:t>物资配送完成率</w:t>
            </w:r>
          </w:p>
        </w:tc>
        <w:tc>
          <w:tcPr>
            <w:tcW w:w="3626" w:type="dxa"/>
            <w:hideMark/>
          </w:tcPr>
          <w:p w14:paraId="4CCC22C4" w14:textId="77777777" w:rsidR="005E37C1" w:rsidRPr="00AE5B9D" w:rsidRDefault="005E37C1" w:rsidP="00AE5B9D">
            <w:pPr>
              <w:rPr>
                <w:sz w:val="18"/>
                <w:szCs w:val="18"/>
              </w:rPr>
            </w:pPr>
            <w:r w:rsidRPr="00AE5B9D">
              <w:rPr>
                <w:rFonts w:hint="eastAsia"/>
                <w:sz w:val="18"/>
                <w:szCs w:val="18"/>
              </w:rPr>
              <w:t>91.4%</w:t>
            </w:r>
          </w:p>
        </w:tc>
      </w:tr>
      <w:tr w:rsidR="005E37C1" w:rsidRPr="00AE5B9D" w14:paraId="55BC2964" w14:textId="77777777" w:rsidTr="00AE5B9D">
        <w:tc>
          <w:tcPr>
            <w:tcW w:w="1800" w:type="dxa"/>
          </w:tcPr>
          <w:p w14:paraId="1DC5D876" w14:textId="77777777" w:rsidR="005E37C1" w:rsidRPr="00AE5B9D" w:rsidRDefault="005E37C1" w:rsidP="00AE5B9D">
            <w:pPr>
              <w:rPr>
                <w:sz w:val="18"/>
                <w:szCs w:val="18"/>
              </w:rPr>
            </w:pPr>
          </w:p>
        </w:tc>
        <w:tc>
          <w:tcPr>
            <w:tcW w:w="3600" w:type="dxa"/>
            <w:hideMark/>
          </w:tcPr>
          <w:p w14:paraId="4A0DFA43" w14:textId="77777777" w:rsidR="005E37C1" w:rsidRPr="00AE5B9D" w:rsidRDefault="005E37C1" w:rsidP="00AE5B9D">
            <w:pPr>
              <w:rPr>
                <w:sz w:val="18"/>
                <w:szCs w:val="18"/>
              </w:rPr>
            </w:pPr>
            <w:r w:rsidRPr="00AE5B9D">
              <w:rPr>
                <w:rFonts w:hint="eastAsia"/>
                <w:sz w:val="18"/>
                <w:szCs w:val="18"/>
              </w:rPr>
              <w:t>物资最大完成时间（协同方案）</w:t>
            </w:r>
          </w:p>
        </w:tc>
        <w:tc>
          <w:tcPr>
            <w:tcW w:w="3626" w:type="dxa"/>
            <w:hideMark/>
          </w:tcPr>
          <w:p w14:paraId="1546BC8D" w14:textId="77777777" w:rsidR="005E37C1" w:rsidRPr="00AE5B9D" w:rsidRDefault="005E37C1" w:rsidP="00AE5B9D">
            <w:pPr>
              <w:rPr>
                <w:sz w:val="18"/>
                <w:szCs w:val="18"/>
              </w:rPr>
            </w:pPr>
            <w:r w:rsidRPr="00AE5B9D">
              <w:rPr>
                <w:rFonts w:hint="eastAsia"/>
                <w:sz w:val="18"/>
                <w:szCs w:val="18"/>
              </w:rPr>
              <w:t>47.3 min</w:t>
            </w:r>
          </w:p>
        </w:tc>
      </w:tr>
      <w:tr w:rsidR="005E37C1" w:rsidRPr="00AE5B9D" w14:paraId="08D49CA4" w14:textId="77777777" w:rsidTr="00AE5B9D">
        <w:tc>
          <w:tcPr>
            <w:tcW w:w="1800" w:type="dxa"/>
          </w:tcPr>
          <w:p w14:paraId="2E8CB5B3" w14:textId="77777777" w:rsidR="005E37C1" w:rsidRPr="00AE5B9D" w:rsidRDefault="005E37C1" w:rsidP="00AE5B9D">
            <w:pPr>
              <w:rPr>
                <w:sz w:val="18"/>
                <w:szCs w:val="18"/>
              </w:rPr>
            </w:pPr>
          </w:p>
        </w:tc>
        <w:tc>
          <w:tcPr>
            <w:tcW w:w="3600" w:type="dxa"/>
            <w:hideMark/>
          </w:tcPr>
          <w:p w14:paraId="67235BBB" w14:textId="77777777" w:rsidR="005E37C1" w:rsidRPr="00AE5B9D" w:rsidRDefault="005E37C1" w:rsidP="00AE5B9D">
            <w:pPr>
              <w:rPr>
                <w:sz w:val="18"/>
                <w:szCs w:val="18"/>
              </w:rPr>
            </w:pPr>
            <w:r w:rsidRPr="00AE5B9D">
              <w:rPr>
                <w:rFonts w:hint="eastAsia"/>
                <w:sz w:val="18"/>
                <w:szCs w:val="18"/>
              </w:rPr>
              <w:t>生命救援准时率</w:t>
            </w:r>
          </w:p>
        </w:tc>
        <w:tc>
          <w:tcPr>
            <w:tcW w:w="3626" w:type="dxa"/>
            <w:hideMark/>
          </w:tcPr>
          <w:p w14:paraId="52830E9E" w14:textId="77777777" w:rsidR="005E37C1" w:rsidRPr="00AE5B9D" w:rsidRDefault="005E37C1" w:rsidP="00AE5B9D">
            <w:pPr>
              <w:rPr>
                <w:sz w:val="18"/>
                <w:szCs w:val="18"/>
              </w:rPr>
            </w:pPr>
            <w:r w:rsidRPr="00AE5B9D">
              <w:rPr>
                <w:rFonts w:hint="eastAsia"/>
                <w:sz w:val="18"/>
                <w:szCs w:val="18"/>
              </w:rPr>
              <w:t>100%</w:t>
            </w:r>
          </w:p>
        </w:tc>
      </w:tr>
      <w:tr w:rsidR="005E37C1" w:rsidRPr="00AE5B9D" w14:paraId="2A457D8C" w14:textId="77777777" w:rsidTr="00AE5B9D">
        <w:tc>
          <w:tcPr>
            <w:tcW w:w="1800" w:type="dxa"/>
          </w:tcPr>
          <w:p w14:paraId="5F89FFDD" w14:textId="77777777" w:rsidR="005E37C1" w:rsidRPr="00AE5B9D" w:rsidRDefault="005E37C1" w:rsidP="00AE5B9D">
            <w:pPr>
              <w:rPr>
                <w:sz w:val="18"/>
                <w:szCs w:val="18"/>
              </w:rPr>
            </w:pPr>
          </w:p>
        </w:tc>
        <w:tc>
          <w:tcPr>
            <w:tcW w:w="3600" w:type="dxa"/>
            <w:hideMark/>
          </w:tcPr>
          <w:p w14:paraId="4C29BBA5" w14:textId="77777777" w:rsidR="005E37C1" w:rsidRPr="00AE5B9D" w:rsidRDefault="005E37C1" w:rsidP="00AE5B9D">
            <w:pPr>
              <w:rPr>
                <w:sz w:val="18"/>
                <w:szCs w:val="18"/>
              </w:rPr>
            </w:pPr>
            <w:r w:rsidRPr="00AE5B9D">
              <w:rPr>
                <w:rFonts w:hint="eastAsia"/>
                <w:sz w:val="18"/>
                <w:szCs w:val="18"/>
              </w:rPr>
              <w:t>疏散完成率（基准方案）</w:t>
            </w:r>
          </w:p>
        </w:tc>
        <w:tc>
          <w:tcPr>
            <w:tcW w:w="3626" w:type="dxa"/>
            <w:hideMark/>
          </w:tcPr>
          <w:p w14:paraId="7810742B" w14:textId="77777777" w:rsidR="005E37C1" w:rsidRPr="00AE5B9D" w:rsidRDefault="005E37C1" w:rsidP="00AE5B9D">
            <w:pPr>
              <w:rPr>
                <w:sz w:val="18"/>
                <w:szCs w:val="18"/>
              </w:rPr>
            </w:pPr>
            <w:r w:rsidRPr="00AE5B9D">
              <w:rPr>
                <w:rFonts w:hint="eastAsia"/>
                <w:sz w:val="18"/>
                <w:szCs w:val="18"/>
              </w:rPr>
              <w:t>41.0%</w:t>
            </w:r>
          </w:p>
        </w:tc>
      </w:tr>
      <w:tr w:rsidR="005E37C1" w:rsidRPr="00AE5B9D" w14:paraId="2E07419C" w14:textId="77777777" w:rsidTr="00AE5B9D">
        <w:tc>
          <w:tcPr>
            <w:tcW w:w="1800" w:type="dxa"/>
            <w:hideMark/>
          </w:tcPr>
          <w:p w14:paraId="46EE3B4D" w14:textId="77777777" w:rsidR="005E37C1" w:rsidRPr="00AE5B9D" w:rsidRDefault="005E37C1" w:rsidP="00AE5B9D">
            <w:pPr>
              <w:rPr>
                <w:sz w:val="18"/>
                <w:szCs w:val="18"/>
              </w:rPr>
            </w:pPr>
            <w:r w:rsidRPr="00AE5B9D">
              <w:rPr>
                <w:rFonts w:hint="eastAsia"/>
                <w:sz w:val="18"/>
                <w:szCs w:val="18"/>
              </w:rPr>
              <w:t>适应韧性</w:t>
            </w:r>
          </w:p>
        </w:tc>
        <w:tc>
          <w:tcPr>
            <w:tcW w:w="3600" w:type="dxa"/>
            <w:hideMark/>
          </w:tcPr>
          <w:p w14:paraId="3C65D1D7" w14:textId="77777777" w:rsidR="005E37C1" w:rsidRPr="00AE5B9D" w:rsidRDefault="005E37C1" w:rsidP="00AE5B9D">
            <w:pPr>
              <w:rPr>
                <w:sz w:val="18"/>
                <w:szCs w:val="18"/>
              </w:rPr>
            </w:pPr>
            <w:r w:rsidRPr="00AE5B9D">
              <w:rPr>
                <w:rFonts w:hint="eastAsia"/>
                <w:sz w:val="18"/>
                <w:szCs w:val="18"/>
              </w:rPr>
              <w:t>无人机接力配送任务增量</w:t>
            </w:r>
          </w:p>
        </w:tc>
        <w:tc>
          <w:tcPr>
            <w:tcW w:w="3626" w:type="dxa"/>
            <w:hideMark/>
          </w:tcPr>
          <w:p w14:paraId="292FE8EB" w14:textId="77777777" w:rsidR="005E37C1" w:rsidRPr="00AE5B9D" w:rsidRDefault="005E37C1" w:rsidP="00AE5B9D">
            <w:pPr>
              <w:rPr>
                <w:sz w:val="18"/>
                <w:szCs w:val="18"/>
              </w:rPr>
            </w:pPr>
            <w:r w:rsidRPr="00AE5B9D">
              <w:rPr>
                <w:rFonts w:hint="eastAsia"/>
                <w:sz w:val="18"/>
                <w:szCs w:val="18"/>
              </w:rPr>
              <w:t>0→34项(+6.7%任务)</w:t>
            </w:r>
          </w:p>
        </w:tc>
      </w:tr>
      <w:tr w:rsidR="005E37C1" w:rsidRPr="00AE5B9D" w14:paraId="530FDC8D" w14:textId="77777777" w:rsidTr="00AE5B9D">
        <w:tc>
          <w:tcPr>
            <w:tcW w:w="1800" w:type="dxa"/>
          </w:tcPr>
          <w:p w14:paraId="676CC706" w14:textId="77777777" w:rsidR="005E37C1" w:rsidRPr="00AE5B9D" w:rsidRDefault="005E37C1" w:rsidP="00AE5B9D">
            <w:pPr>
              <w:rPr>
                <w:sz w:val="18"/>
                <w:szCs w:val="18"/>
              </w:rPr>
            </w:pPr>
          </w:p>
        </w:tc>
        <w:tc>
          <w:tcPr>
            <w:tcW w:w="3600" w:type="dxa"/>
            <w:hideMark/>
          </w:tcPr>
          <w:p w14:paraId="531C2AB6" w14:textId="77777777" w:rsidR="005E37C1" w:rsidRPr="00AE5B9D" w:rsidRDefault="005E37C1" w:rsidP="00AE5B9D">
            <w:pPr>
              <w:rPr>
                <w:sz w:val="18"/>
                <w:szCs w:val="18"/>
              </w:rPr>
            </w:pPr>
            <w:r w:rsidRPr="00AE5B9D">
              <w:rPr>
                <w:rFonts w:hint="eastAsia"/>
                <w:sz w:val="18"/>
                <w:szCs w:val="18"/>
              </w:rPr>
              <w:t>ERPG分区策略疏散增益</w:t>
            </w:r>
          </w:p>
        </w:tc>
        <w:tc>
          <w:tcPr>
            <w:tcW w:w="3626" w:type="dxa"/>
            <w:hideMark/>
          </w:tcPr>
          <w:p w14:paraId="7A9F79C8" w14:textId="77777777" w:rsidR="005E37C1" w:rsidRPr="00AE5B9D" w:rsidRDefault="005E37C1" w:rsidP="00AE5B9D">
            <w:pPr>
              <w:rPr>
                <w:sz w:val="18"/>
                <w:szCs w:val="18"/>
              </w:rPr>
            </w:pPr>
            <w:r w:rsidRPr="00AE5B9D">
              <w:rPr>
                <w:rFonts w:hint="eastAsia"/>
                <w:sz w:val="18"/>
                <w:szCs w:val="18"/>
              </w:rPr>
              <w:t>k=2完全疏散(100%)</w:t>
            </w:r>
          </w:p>
        </w:tc>
      </w:tr>
    </w:tbl>
    <w:p w14:paraId="118C2DDE" w14:textId="5134FAA9" w:rsidR="00700088" w:rsidRDefault="00BE707F"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78811569" wp14:editId="79F9C2B1">
            <wp:extent cx="3162300" cy="3022600"/>
            <wp:effectExtent l="0" t="0" r="0" b="0"/>
            <wp:docPr id="1532053732" name="图片 5"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53732" name="图片 5" descr="图表, 雷达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3162300" cy="3022600"/>
                    </a:xfrm>
                    <a:prstGeom prst="rect">
                      <a:avLst/>
                    </a:prstGeom>
                  </pic:spPr>
                </pic:pic>
              </a:graphicData>
            </a:graphic>
          </wp:inline>
        </w:drawing>
      </w:r>
    </w:p>
    <w:p w14:paraId="49C8620F"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lastRenderedPageBreak/>
        <w:t>图</w:t>
      </w:r>
      <w:r>
        <w:rPr>
          <w:rFonts w:ascii="Times New Roman" w:eastAsia="仿宋" w:hAnsi="Times New Roman" w:cs="Times New Roman"/>
          <w:sz w:val="24"/>
          <w:szCs w:val="24"/>
        </w:rPr>
        <w:t>4</w:t>
      </w:r>
      <w:r>
        <w:rPr>
          <w:rFonts w:ascii="Times New Roman" w:eastAsia="仿宋" w:hAnsi="Times New Roman" w:cs="Times New Roman"/>
          <w:sz w:val="24"/>
          <w:szCs w:val="24"/>
        </w:rPr>
        <w:t xml:space="preserve">　交通系统韧性雷达图。</w:t>
      </w:r>
      <w:r>
        <w:rPr>
          <w:rFonts w:ascii="Times New Roman" w:eastAsia="仿宋" w:hAnsi="Times New Roman" w:cs="Times New Roman"/>
          <w:sz w:val="24"/>
          <w:szCs w:val="24"/>
        </w:rPr>
        <w:t>Fig.4 Resilience radar chart.</w:t>
      </w:r>
    </w:p>
    <w:p w14:paraId="290A5A4A"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hint="eastAsia"/>
          <w:color w:val="3B5AA2"/>
          <w:position w:val="16"/>
          <w:sz w:val="32"/>
          <w:szCs w:val="24"/>
        </w:rPr>
        <w:t xml:space="preserve">5  </w:t>
      </w:r>
      <w:r>
        <w:rPr>
          <w:rFonts w:ascii="Times New Roman" w:eastAsia="仿宋" w:hAnsi="Times New Roman" w:cs="Times New Roman" w:hint="eastAsia"/>
          <w:color w:val="3B5AA2"/>
          <w:position w:val="16"/>
          <w:sz w:val="32"/>
          <w:szCs w:val="24"/>
        </w:rPr>
        <w:t>讨论</w:t>
      </w:r>
    </w:p>
    <w:p w14:paraId="0D369F0E"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5.1  </w:t>
      </w:r>
      <w:r>
        <w:rPr>
          <w:rFonts w:ascii="Times New Roman" w:eastAsia="仿宋" w:hAnsi="Times New Roman" w:cs="Times New Roman" w:hint="eastAsia"/>
          <w:color w:val="3B5AA2"/>
          <w:position w:val="16"/>
          <w:sz w:val="32"/>
        </w:rPr>
        <w:t>物资配送与疏散的不对称韧性</w:t>
      </w:r>
    </w:p>
    <w:p w14:paraId="03808B38"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韧性评估揭示了显著的不对称性能特征：物资配送展现出较高韧性（</w:t>
      </w:r>
      <w:r>
        <w:rPr>
          <w:rFonts w:ascii="Times New Roman" w:eastAsia="仿宋" w:hAnsi="Times New Roman" w:cs="Times New Roman" w:hint="eastAsia"/>
          <w:sz w:val="24"/>
          <w:szCs w:val="24"/>
        </w:rPr>
        <w:t>91.4%</w:t>
      </w:r>
      <w:r>
        <w:rPr>
          <w:rFonts w:ascii="Times New Roman" w:eastAsia="仿宋" w:hAnsi="Times New Roman" w:cs="Times New Roman" w:hint="eastAsia"/>
          <w:sz w:val="24"/>
          <w:szCs w:val="24"/>
        </w:rPr>
        <w:t>完成率、生命救援物资</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准时送达），而</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类重伤人员的疏散表现出明显瓶颈（</w:t>
      </w:r>
      <w:r>
        <w:rPr>
          <w:rFonts w:ascii="Times New Roman" w:eastAsia="仿宋" w:hAnsi="Times New Roman" w:cs="Times New Roman" w:hint="eastAsia"/>
          <w:sz w:val="24"/>
          <w:szCs w:val="24"/>
        </w:rPr>
        <w:t>2.8%</w:t>
      </w:r>
      <w:r>
        <w:rPr>
          <w:rFonts w:ascii="Times New Roman" w:eastAsia="仿宋" w:hAnsi="Times New Roman" w:cs="Times New Roman" w:hint="eastAsia"/>
          <w:sz w:val="24"/>
          <w:szCs w:val="24"/>
        </w:rPr>
        <w:t>完成率）。与此同时，基于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分区策略使</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类脆弱群体实现了</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疏散，整体疏散率达</w:t>
      </w: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。不对称性的根源在于运力结构与需求匹配的失衡——</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类仅可使用救护车和直升机（共</w:t>
      </w:r>
      <w:r>
        <w:rPr>
          <w:rFonts w:ascii="Times New Roman" w:eastAsia="仿宋" w:hAnsi="Times New Roman" w:cs="Times New Roman" w:hint="eastAsia"/>
          <w:sz w:val="24"/>
          <w:szCs w:val="24"/>
        </w:rPr>
        <w:t>18</w:t>
      </w:r>
      <w:r>
        <w:rPr>
          <w:rFonts w:ascii="Times New Roman" w:eastAsia="仿宋" w:hAnsi="Times New Roman" w:cs="Times New Roman" w:hint="eastAsia"/>
          <w:sz w:val="24"/>
          <w:szCs w:val="24"/>
        </w:rPr>
        <w:t>辆</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架），但</w:t>
      </w:r>
      <w:r>
        <w:rPr>
          <w:rFonts w:ascii="Times New Roman" w:eastAsia="仿宋" w:hAnsi="Times New Roman" w:cs="Times New Roman" w:hint="eastAsia"/>
          <w:sz w:val="24"/>
          <w:szCs w:val="24"/>
        </w:rPr>
        <w:t>ERPG-1</w:t>
      </w:r>
      <w:r>
        <w:rPr>
          <w:rFonts w:ascii="Times New Roman" w:eastAsia="仿宋" w:hAnsi="Times New Roman" w:cs="Times New Roman" w:hint="eastAsia"/>
          <w:sz w:val="24"/>
          <w:szCs w:val="24"/>
        </w:rPr>
        <w:t>区域按</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比例估算的重伤人口高达约</w:t>
      </w:r>
      <w:r>
        <w:rPr>
          <w:rFonts w:ascii="Times New Roman" w:eastAsia="仿宋" w:hAnsi="Times New Roman" w:cs="Times New Roman" w:hint="eastAsia"/>
          <w:sz w:val="24"/>
          <w:szCs w:val="24"/>
        </w:rPr>
        <w:t>8,100</w:t>
      </w:r>
      <w:r>
        <w:rPr>
          <w:rFonts w:ascii="Times New Roman" w:eastAsia="仿宋" w:hAnsi="Times New Roman" w:cs="Times New Roman" w:hint="eastAsia"/>
          <w:sz w:val="24"/>
          <w:szCs w:val="24"/>
        </w:rPr>
        <w:t>人，远超专用急救运力的上限。就地避难人口的物资需求使配送任务增加</w:t>
      </w:r>
      <w:r>
        <w:rPr>
          <w:rFonts w:ascii="Times New Roman" w:eastAsia="仿宋" w:hAnsi="Times New Roman" w:cs="Times New Roman" w:hint="eastAsia"/>
          <w:sz w:val="24"/>
          <w:szCs w:val="24"/>
        </w:rPr>
        <w:t>75%</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40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70</w:t>
      </w:r>
      <w:r>
        <w:rPr>
          <w:rFonts w:ascii="Times New Roman" w:eastAsia="仿宋" w:hAnsi="Times New Roman" w:cs="Times New Roman" w:hint="eastAsia"/>
          <w:sz w:val="24"/>
          <w:szCs w:val="24"/>
        </w:rPr>
        <w:t>项），其中</w:t>
      </w:r>
      <w:r>
        <w:rPr>
          <w:rFonts w:ascii="Times New Roman" w:eastAsia="仿宋" w:hAnsi="Times New Roman" w:cs="Times New Roman" w:hint="eastAsia"/>
          <w:sz w:val="24"/>
          <w:szCs w:val="24"/>
        </w:rPr>
        <w:t>9</w:t>
      </w:r>
      <w:r>
        <w:rPr>
          <w:rFonts w:ascii="Times New Roman" w:eastAsia="仿宋" w:hAnsi="Times New Roman" w:cs="Times New Roman" w:hint="eastAsia"/>
          <w:sz w:val="24"/>
          <w:szCs w:val="24"/>
        </w:rPr>
        <w:t>项未完成任务集中在大批量防护设备配送。这一发现表明，在城市危险品事故的应急准备中，急救运力（尤其是救护车和直升机）的预置规模以及应急物资仓库的布局应获得更高的优先级。</w:t>
      </w:r>
    </w:p>
    <w:p w14:paraId="7569A07B"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5.2  </w:t>
      </w:r>
      <w:r>
        <w:rPr>
          <w:rFonts w:ascii="Times New Roman" w:eastAsia="仿宋" w:hAnsi="Times New Roman" w:cs="Times New Roman" w:hint="eastAsia"/>
          <w:color w:val="3B5AA2"/>
          <w:position w:val="16"/>
          <w:sz w:val="32"/>
        </w:rPr>
        <w:t>关键基础设施的决定性角色</w:t>
      </w:r>
    </w:p>
    <w:p w14:paraId="703E9746" w14:textId="728C4C31"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分区策略下，地铁的疏散贡献低于预期。移除地铁后疏散率反而微升（</w:t>
      </w: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38.8%</w:t>
      </w:r>
      <w:r>
        <w:rPr>
          <w:rFonts w:ascii="Times New Roman" w:eastAsia="仿宋" w:hAnsi="Times New Roman" w:cs="Times New Roman" w:hint="eastAsia"/>
          <w:sz w:val="24"/>
          <w:szCs w:val="24"/>
        </w:rPr>
        <w:t>），原因在于当前需疏散人群以</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（仅用救护车</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直升机）和</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为主，公交和私家车已足以覆盖</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的运力需求。然而，地铁的价值不应被低估：（</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）在更大规模事故（如</w:t>
      </w:r>
      <w:r>
        <w:rPr>
          <w:rFonts w:ascii="Times New Roman" w:eastAsia="仿宋" w:hAnsi="Times New Roman" w:cs="Times New Roman" w:hint="eastAsia"/>
          <w:sz w:val="24"/>
          <w:szCs w:val="24"/>
        </w:rPr>
        <w:t>ERPG-3</w:t>
      </w:r>
      <w:r>
        <w:rPr>
          <w:rFonts w:ascii="Times New Roman" w:eastAsia="仿宋" w:hAnsi="Times New Roman" w:cs="Times New Roman" w:hint="eastAsia"/>
          <w:sz w:val="24"/>
          <w:szCs w:val="24"/>
        </w:rPr>
        <w:t>区域覆盖密集居住区）或全员疏散场景下，</w:t>
      </w:r>
      <w:r>
        <w:rPr>
          <w:rFonts w:ascii="Times New Roman" w:eastAsia="仿宋" w:hAnsi="Times New Roman" w:cs="Times New Roman" w:hint="eastAsia"/>
          <w:sz w:val="24"/>
          <w:szCs w:val="24"/>
        </w:rPr>
        <w:t>k=3</w:t>
      </w:r>
      <w:r>
        <w:rPr>
          <w:rFonts w:ascii="Times New Roman" w:eastAsia="仿宋" w:hAnsi="Times New Roman" w:cs="Times New Roman" w:hint="eastAsia"/>
          <w:sz w:val="24"/>
          <w:szCs w:val="24"/>
        </w:rPr>
        <w:t>类大量一般人口将依赖地铁的高吞吐量；（</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）就地避难区域的居民可能自发向地铁站聚集，地铁的大容量运力（每列</w:t>
      </w:r>
      <w:r>
        <w:rPr>
          <w:rFonts w:ascii="Times New Roman" w:eastAsia="仿宋" w:hAnsi="Times New Roman" w:cs="Times New Roman" w:hint="eastAsia"/>
          <w:sz w:val="24"/>
          <w:szCs w:val="24"/>
        </w:rPr>
        <w:t>1,200</w:t>
      </w:r>
      <w:r>
        <w:rPr>
          <w:rFonts w:ascii="Times New Roman" w:eastAsia="仿宋" w:hAnsi="Times New Roman" w:cs="Times New Roman" w:hint="eastAsia"/>
          <w:sz w:val="24"/>
          <w:szCs w:val="24"/>
        </w:rPr>
        <w:t>人，</w:t>
      </w:r>
      <w:r>
        <w:rPr>
          <w:rFonts w:ascii="Times New Roman" w:eastAsia="仿宋" w:hAnsi="Times New Roman" w:cs="Times New Roman" w:hint="eastAsia"/>
          <w:sz w:val="24"/>
          <w:szCs w:val="24"/>
        </w:rPr>
        <w:t>180 min</w:t>
      </w:r>
      <w:r>
        <w:rPr>
          <w:rFonts w:ascii="Times New Roman" w:eastAsia="仿宋" w:hAnsi="Times New Roman" w:cs="Times New Roman" w:hint="eastAsia"/>
          <w:sz w:val="24"/>
          <w:szCs w:val="24"/>
        </w:rPr>
        <w:t>内可发</w:t>
      </w:r>
      <w:r>
        <w:rPr>
          <w:rFonts w:ascii="Times New Roman" w:eastAsia="仿宋" w:hAnsi="Times New Roman" w:cs="Times New Roman" w:hint="eastAsia"/>
          <w:sz w:val="24"/>
          <w:szCs w:val="24"/>
        </w:rPr>
        <w:t>15</w:t>
      </w:r>
      <w:r>
        <w:rPr>
          <w:rFonts w:ascii="Times New Roman" w:eastAsia="仿宋" w:hAnsi="Times New Roman" w:cs="Times New Roman" w:hint="eastAsia"/>
          <w:sz w:val="24"/>
          <w:szCs w:val="24"/>
        </w:rPr>
        <w:t>列）在非受控疏散中具有不可替代的作用。</w:t>
      </w:r>
      <w:proofErr w:type="spellStart"/>
      <w:r>
        <w:rPr>
          <w:rFonts w:ascii="Times New Roman" w:eastAsia="仿宋" w:hAnsi="Times New Roman" w:cs="Times New Roman" w:hint="eastAsia"/>
          <w:sz w:val="24"/>
          <w:szCs w:val="24"/>
        </w:rPr>
        <w:t>Abdelgawad</w:t>
      </w:r>
      <w:proofErr w:type="spellEnd"/>
      <w:r>
        <w:rPr>
          <w:rFonts w:ascii="Times New Roman" w:eastAsia="仿宋" w:hAnsi="Times New Roman" w:cs="Times New Roman" w:hint="eastAsia"/>
          <w:sz w:val="24"/>
          <w:szCs w:val="24"/>
        </w:rPr>
        <w:t>和</w:t>
      </w:r>
      <w:proofErr w:type="spellStart"/>
      <w:r>
        <w:rPr>
          <w:rFonts w:ascii="Times New Roman" w:eastAsia="仿宋" w:hAnsi="Times New Roman" w:cs="Times New Roman" w:hint="eastAsia"/>
          <w:sz w:val="24"/>
          <w:szCs w:val="24"/>
        </w:rPr>
        <w:t>Abdulhai</w:t>
      </w:r>
      <w:proofErr w:type="spellEnd"/>
      <w:r w:rsidR="00E14468">
        <w:rPr>
          <w:rFonts w:ascii="Times New Roman" w:eastAsia="仿宋" w:hAnsi="Times New Roman" w:cs="Times New Roman"/>
          <w:sz w:val="24"/>
          <w:szCs w:val="24"/>
        </w:rPr>
        <w:fldChar w:fldCharType="begin"/>
      </w:r>
      <w:r w:rsidR="00E14468">
        <w:rPr>
          <w:rFonts w:ascii="Times New Roman" w:eastAsia="仿宋" w:hAnsi="Times New Roman" w:cs="Times New Roman"/>
          <w:sz w:val="24"/>
          <w:szCs w:val="24"/>
        </w:rPr>
        <w:instrText xml:space="preserve"> ADDIN EN.CITE &lt;EndNote&gt;&lt;Cite&gt;&lt;Author&gt;Abdelgawad&lt;/Author&gt;&lt;Year&gt;2010&lt;/Year&gt;&lt;RecNum&gt;200&lt;/RecNum&gt;&lt;DisplayText&gt;&lt;style face="superscript"&gt;[10]&lt;/style&gt;&lt;/DisplayText&gt;&lt;record&gt;&lt;rec-number&gt;200&lt;/rec-number&gt;&lt;foreign-keys&gt;&lt;key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E14468">
        <w:rPr>
          <w:rFonts w:ascii="Times New Roman" w:eastAsia="仿宋" w:hAnsi="Times New Roman" w:cs="Times New Roman"/>
          <w:sz w:val="24"/>
          <w:szCs w:val="24"/>
        </w:rPr>
        <w:fldChar w:fldCharType="separate"/>
      </w:r>
      <w:r w:rsidR="00E14468">
        <w:rPr>
          <w:rFonts w:ascii="Times New Roman" w:eastAsia="仿宋" w:hAnsi="Times New Roman" w:cs="Times New Roman"/>
          <w:noProof/>
          <w:sz w:val="24"/>
          <w:szCs w:val="24"/>
          <w:vertAlign w:val="superscript"/>
        </w:rPr>
        <w:t>[10]</w:t>
      </w:r>
      <w:r w:rsidR="00E14468">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提出的多模式疏散框架中关于大容量公共交通重要性的结论一致。实践层面，这要求城市应急管理部门建立地铁系统的快速应急调度协议，确保在危险品事故发生后能够迅速启动地铁应急运营。</w:t>
      </w:r>
    </w:p>
    <w:p w14:paraId="2C3E5DBB"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lastRenderedPageBreak/>
        <w:t xml:space="preserve">5.3  </w:t>
      </w:r>
      <w:r>
        <w:rPr>
          <w:rFonts w:ascii="Times New Roman" w:eastAsia="仿宋" w:hAnsi="Times New Roman" w:cs="Times New Roman" w:hint="eastAsia"/>
          <w:color w:val="3B5AA2"/>
          <w:position w:val="16"/>
          <w:sz w:val="32"/>
        </w:rPr>
        <w:t>无人机协同的适用边界</w:t>
      </w:r>
    </w:p>
    <w:p w14:paraId="45927EF1" w14:textId="5CFF625B" w:rsidR="00AE5B9D" w:rsidRDefault="005E37C1" w:rsidP="00AE5B9D">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在</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分区策略下，就地避难人口的物资需求使接力配送任务从</w:t>
      </w:r>
      <w:r>
        <w:rPr>
          <w:rFonts w:ascii="Times New Roman" w:eastAsia="仿宋" w:hAnsi="Times New Roman" w:cs="Times New Roman" w:hint="eastAsia"/>
          <w:sz w:val="24"/>
          <w:szCs w:val="24"/>
        </w:rPr>
        <w:t>0</w:t>
      </w:r>
      <w:r>
        <w:rPr>
          <w:rFonts w:ascii="Times New Roman" w:eastAsia="仿宋" w:hAnsi="Times New Roman" w:cs="Times New Roman" w:hint="eastAsia"/>
          <w:sz w:val="24"/>
          <w:szCs w:val="24"/>
        </w:rPr>
        <w:t>项增至</w:t>
      </w:r>
      <w:r>
        <w:rPr>
          <w:rFonts w:ascii="Times New Roman" w:eastAsia="仿宋" w:hAnsi="Times New Roman" w:cs="Times New Roman" w:hint="eastAsia"/>
          <w:sz w:val="24"/>
          <w:szCs w:val="24"/>
        </w:rPr>
        <w:t>34</w:t>
      </w:r>
      <w:r>
        <w:rPr>
          <w:rFonts w:ascii="Times New Roman" w:eastAsia="仿宋" w:hAnsi="Times New Roman" w:cs="Times New Roman" w:hint="eastAsia"/>
          <w:sz w:val="24"/>
          <w:szCs w:val="24"/>
        </w:rPr>
        <w:t>项（占</w:t>
      </w:r>
      <w:r>
        <w:rPr>
          <w:rFonts w:ascii="Times New Roman" w:eastAsia="仿宋" w:hAnsi="Times New Roman" w:cs="Times New Roman" w:hint="eastAsia"/>
          <w:sz w:val="24"/>
          <w:szCs w:val="24"/>
        </w:rPr>
        <w:t>6.7%</w:t>
      </w:r>
      <w:r>
        <w:rPr>
          <w:rFonts w:ascii="Times New Roman" w:eastAsia="仿宋" w:hAnsi="Times New Roman" w:cs="Times New Roman" w:hint="eastAsia"/>
          <w:sz w:val="24"/>
          <w:szCs w:val="24"/>
        </w:rPr>
        <w:t>），体现了无人机在扩大配送覆盖范围方面的价值。然而，协同方案的</w:t>
      </w:r>
      <w:r>
        <w:rPr>
          <w:rFonts w:ascii="Times New Roman" w:eastAsia="仿宋" w:hAnsi="Times New Roman" w:cs="Times New Roman" w:hint="eastAsia"/>
          <w:sz w:val="24"/>
          <w:szCs w:val="24"/>
        </w:rPr>
        <w:t>Makespan</w:t>
      </w:r>
      <w:r>
        <w:rPr>
          <w:rFonts w:ascii="Times New Roman" w:eastAsia="仿宋" w:hAnsi="Times New Roman" w:cs="Times New Roman" w:hint="eastAsia"/>
          <w:sz w:val="24"/>
          <w:szCs w:val="24"/>
        </w:rPr>
        <w:t>与纯货车方案相同（均为</w:t>
      </w:r>
      <w:r>
        <w:rPr>
          <w:rFonts w:ascii="Times New Roman" w:eastAsia="仿宋" w:hAnsi="Times New Roman" w:cs="Times New Roman" w:hint="eastAsia"/>
          <w:sz w:val="24"/>
          <w:szCs w:val="24"/>
        </w:rPr>
        <w:t>47.3 min</w:t>
      </w:r>
      <w:r>
        <w:rPr>
          <w:rFonts w:ascii="Times New Roman" w:eastAsia="仿宋" w:hAnsi="Times New Roman" w:cs="Times New Roman" w:hint="eastAsia"/>
          <w:sz w:val="24"/>
          <w:szCs w:val="24"/>
        </w:rPr>
        <w:t>），且协同方案完成任务数反而略少（</w:t>
      </w:r>
      <w:r>
        <w:rPr>
          <w:rFonts w:ascii="Times New Roman" w:eastAsia="仿宋" w:hAnsi="Times New Roman" w:cs="Times New Roman" w:hint="eastAsia"/>
          <w:sz w:val="24"/>
          <w:szCs w:val="24"/>
        </w:rPr>
        <w:t>60 vs 61</w:t>
      </w:r>
      <w:r>
        <w:rPr>
          <w:rFonts w:ascii="Times New Roman" w:eastAsia="仿宋" w:hAnsi="Times New Roman" w:cs="Times New Roman" w:hint="eastAsia"/>
          <w:sz w:val="24"/>
          <w:szCs w:val="24"/>
        </w:rPr>
        <w:t>项），原因在于接力模式占用了车辆时间。</w:t>
      </w:r>
      <w:r>
        <w:rPr>
          <w:rFonts w:ascii="Times New Roman" w:eastAsia="仿宋" w:hAnsi="Times New Roman" w:cs="Times New Roman" w:hint="eastAsia"/>
          <w:sz w:val="24"/>
          <w:szCs w:val="24"/>
        </w:rPr>
        <w:t>Zhang</w:t>
      </w:r>
      <w:r>
        <w:rPr>
          <w:rFonts w:ascii="Times New Roman" w:eastAsia="仿宋" w:hAnsi="Times New Roman" w:cs="Times New Roman" w:hint="eastAsia"/>
          <w:sz w:val="24"/>
          <w:szCs w:val="24"/>
        </w:rPr>
        <w:t>等</w:t>
      </w:r>
      <w:bookmarkStart w:id="54" w:name="OLE_LINK128"/>
      <w:bookmarkStart w:id="55" w:name="OLE_LINK129"/>
      <w:r w:rsidR="00DF582E">
        <w:rPr>
          <w:rFonts w:ascii="Times New Roman" w:eastAsia="仿宋" w:hAnsi="Times New Roman" w:cs="Times New Roman"/>
          <w:sz w:val="24"/>
          <w:szCs w:val="24"/>
        </w:rPr>
        <w:fldChar w:fldCharType="begin"/>
      </w:r>
      <w:r w:rsidR="00DF582E">
        <w:rPr>
          <w:rFonts w:ascii="Times New Roman" w:eastAsia="仿宋" w:hAnsi="Times New Roman" w:cs="Times New Roman"/>
          <w:sz w:val="24"/>
          <w:szCs w:val="24"/>
        </w:rPr>
        <w:instrText xml:space="preserve"> ADDIN EN.CITE &lt;EndNote&gt;&lt;Cite&gt;&lt;Author&gt;Zhang&lt;/Author&gt;&lt;Year&gt;2023&lt;/Year&gt;&lt;RecNum&gt;199&lt;/RecNum&gt;&lt;DisplayText&gt;&lt;style face="superscript"&gt;[8]&lt;/style&gt;&lt;/DisplayText&gt;&lt;record&gt;&lt;rec-number&gt;199&lt;/rec-number&gt;&lt;foreign-keys&gt;&lt;key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DF582E">
        <w:rPr>
          <w:rFonts w:ascii="Times New Roman" w:eastAsia="仿宋" w:hAnsi="Times New Roman" w:cs="Times New Roman"/>
          <w:sz w:val="24"/>
          <w:szCs w:val="24"/>
        </w:rPr>
        <w:fldChar w:fldCharType="separate"/>
      </w:r>
      <w:r w:rsidR="00DF582E">
        <w:rPr>
          <w:rFonts w:ascii="Times New Roman" w:eastAsia="仿宋" w:hAnsi="Times New Roman" w:cs="Times New Roman"/>
          <w:noProof/>
          <w:sz w:val="24"/>
          <w:szCs w:val="24"/>
          <w:vertAlign w:val="superscript"/>
        </w:rPr>
        <w:t>[8]</w:t>
      </w:r>
      <w:r w:rsidR="00DF582E">
        <w:rPr>
          <w:rFonts w:ascii="Times New Roman" w:eastAsia="仿宋" w:hAnsi="Times New Roman" w:cs="Times New Roman"/>
          <w:sz w:val="24"/>
          <w:szCs w:val="24"/>
        </w:rPr>
        <w:fldChar w:fldCharType="end"/>
      </w:r>
      <w:bookmarkEnd w:id="54"/>
      <w:bookmarkEnd w:id="55"/>
      <w:r>
        <w:rPr>
          <w:rFonts w:ascii="Times New Roman" w:eastAsia="仿宋" w:hAnsi="Times New Roman" w:cs="Times New Roman" w:hint="eastAsia"/>
          <w:sz w:val="24"/>
          <w:szCs w:val="24"/>
        </w:rPr>
        <w:t>关于优先级机制下货车—无人机同步配送的研究同样指出，无人机的价值在大规模路网破坏场景下更为显著。可以预期，在封闭区更大（如爆炸场景导致</w:t>
      </w:r>
      <w:r>
        <w:rPr>
          <w:rFonts w:ascii="Times New Roman" w:eastAsia="仿宋" w:hAnsi="Times New Roman" w:cs="Times New Roman" w:hint="eastAsia"/>
          <w:sz w:val="24"/>
          <w:szCs w:val="24"/>
        </w:rPr>
        <w:t>2-3 km</w:t>
      </w:r>
      <w:r>
        <w:rPr>
          <w:rFonts w:ascii="Times New Roman" w:eastAsia="仿宋" w:hAnsi="Times New Roman" w:cs="Times New Roman" w:hint="eastAsia"/>
          <w:sz w:val="24"/>
          <w:szCs w:val="24"/>
        </w:rPr>
        <w:t>路段封闭）、同时发生多点事故或供应点库存不足条件下，接力配送的优势将进一步凸显。当前场景的主要瓶颈在于供应点库存而非配送路径，增设应急仓库比增加无人机数量更能改善配送完成率。</w:t>
      </w:r>
    </w:p>
    <w:p w14:paraId="2FCCBE82" w14:textId="60793810" w:rsidR="00132753" w:rsidRPr="00AE5B9D" w:rsidRDefault="00000000" w:rsidP="00AE5B9D">
      <w:pPr>
        <w:spacing w:after="120" w:line="360" w:lineRule="auto"/>
        <w:ind w:firstLine="420"/>
        <w:rPr>
          <w:rFonts w:ascii="Times New Roman" w:eastAsia="仿宋" w:hAnsi="Times New Roman" w:cs="Times New Roman"/>
          <w:sz w:val="24"/>
          <w:szCs w:val="24"/>
        </w:rPr>
      </w:pPr>
      <w:r w:rsidRPr="00AE5B9D">
        <w:rPr>
          <w:rFonts w:ascii="Times New Roman" w:eastAsia="仿宋" w:hAnsi="Times New Roman" w:cs="Times New Roman"/>
          <w:sz w:val="24"/>
          <w:szCs w:val="24"/>
        </w:rPr>
        <w:t>值得指出的是</w:t>
      </w:r>
      <w:r w:rsidR="003F21AD">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本研究观察到一个与传统认知相反的负向结果</w:t>
      </w:r>
      <w:r w:rsidRPr="00AE5B9D">
        <w:rPr>
          <w:rFonts w:ascii="Times New Roman" w:eastAsia="仿宋" w:hAnsi="Times New Roman" w:cs="Times New Roman"/>
          <w:sz w:val="24"/>
          <w:szCs w:val="24"/>
        </w:rPr>
        <w:t>:</w:t>
      </w:r>
      <w:r w:rsidRPr="00AE5B9D">
        <w:rPr>
          <w:rFonts w:ascii="Times New Roman" w:eastAsia="仿宋" w:hAnsi="Times New Roman" w:cs="Times New Roman"/>
          <w:sz w:val="24"/>
          <w:szCs w:val="24"/>
        </w:rPr>
        <w:t>协同方案的</w:t>
      </w:r>
      <w:proofErr w:type="spellStart"/>
      <w:r w:rsidRPr="00AE5B9D">
        <w:rPr>
          <w:rFonts w:ascii="Times New Roman" w:eastAsia="仿宋" w:hAnsi="Times New Roman" w:cs="Times New Roman"/>
          <w:sz w:val="24"/>
          <w:szCs w:val="24"/>
        </w:rPr>
        <w:t>Makespan</w:t>
      </w:r>
      <w:proofErr w:type="spellEnd"/>
      <w:r w:rsidRPr="00AE5B9D">
        <w:rPr>
          <w:rFonts w:ascii="Times New Roman" w:eastAsia="仿宋" w:hAnsi="Times New Roman" w:cs="Times New Roman"/>
          <w:sz w:val="24"/>
          <w:szCs w:val="24"/>
        </w:rPr>
        <w:t>(59.9 min)</w:t>
      </w:r>
      <w:r w:rsidRPr="00AE5B9D">
        <w:rPr>
          <w:rFonts w:ascii="Times New Roman" w:eastAsia="仿宋" w:hAnsi="Times New Roman" w:cs="Times New Roman"/>
          <w:sz w:val="24"/>
          <w:szCs w:val="24"/>
        </w:rPr>
        <w:t>较纯货车方案</w:t>
      </w:r>
      <w:r w:rsidRPr="00AE5B9D">
        <w:rPr>
          <w:rFonts w:ascii="Times New Roman" w:eastAsia="仿宋" w:hAnsi="Times New Roman" w:cs="Times New Roman"/>
          <w:sz w:val="24"/>
          <w:szCs w:val="24"/>
        </w:rPr>
        <w:t>(47.3 min)</w:t>
      </w:r>
      <w:r w:rsidRPr="00AE5B9D">
        <w:rPr>
          <w:rFonts w:ascii="Times New Roman" w:eastAsia="仿宋" w:hAnsi="Times New Roman" w:cs="Times New Roman"/>
          <w:sz w:val="24"/>
          <w:szCs w:val="24"/>
        </w:rPr>
        <w:t>增加了</w:t>
      </w:r>
      <w:r w:rsidRPr="00AE5B9D">
        <w:rPr>
          <w:rFonts w:ascii="Times New Roman" w:eastAsia="仿宋" w:hAnsi="Times New Roman" w:cs="Times New Roman"/>
          <w:sz w:val="24"/>
          <w:szCs w:val="24"/>
        </w:rPr>
        <w:t>26.6%</w:t>
      </w:r>
      <w:r w:rsidR="00D1069B">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完成任务数也少</w:t>
      </w:r>
      <w:r w:rsidRPr="00AE5B9D">
        <w:rPr>
          <w:rFonts w:ascii="Times New Roman" w:eastAsia="仿宋" w:hAnsi="Times New Roman" w:cs="Times New Roman"/>
          <w:sz w:val="24"/>
          <w:szCs w:val="24"/>
        </w:rPr>
        <w:t>2</w:t>
      </w:r>
      <w:r w:rsidRPr="00AE5B9D">
        <w:rPr>
          <w:rFonts w:ascii="Times New Roman" w:eastAsia="仿宋" w:hAnsi="Times New Roman" w:cs="Times New Roman"/>
          <w:sz w:val="24"/>
          <w:szCs w:val="24"/>
        </w:rPr>
        <w:t>项。深入分析发现</w:t>
      </w:r>
      <w:r w:rsidR="00EE03B4">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原因有三</w:t>
      </w:r>
      <w:r w:rsidR="00EE03B4">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(1)</w:t>
      </w:r>
      <w:r w:rsidRPr="00AE5B9D">
        <w:rPr>
          <w:rFonts w:ascii="Times New Roman" w:eastAsia="仿宋" w:hAnsi="Times New Roman" w:cs="Times New Roman"/>
          <w:sz w:val="24"/>
          <w:szCs w:val="24"/>
        </w:rPr>
        <w:t>消防站基于小类精确匹配后从</w:t>
      </w:r>
      <w:r w:rsidRPr="00AE5B9D">
        <w:rPr>
          <w:rFonts w:ascii="Times New Roman" w:eastAsia="仿宋" w:hAnsi="Times New Roman" w:cs="Times New Roman"/>
          <w:sz w:val="24"/>
          <w:szCs w:val="24"/>
        </w:rPr>
        <w:t>1,032</w:t>
      </w:r>
      <w:r w:rsidRPr="00AE5B9D">
        <w:rPr>
          <w:rFonts w:ascii="Times New Roman" w:eastAsia="仿宋" w:hAnsi="Times New Roman" w:cs="Times New Roman"/>
          <w:sz w:val="24"/>
          <w:szCs w:val="24"/>
        </w:rPr>
        <w:t>骤降至</w:t>
      </w:r>
      <w:r w:rsidRPr="00AE5B9D">
        <w:rPr>
          <w:rFonts w:ascii="Times New Roman" w:eastAsia="仿宋" w:hAnsi="Times New Roman" w:cs="Times New Roman"/>
          <w:sz w:val="24"/>
          <w:szCs w:val="24"/>
        </w:rPr>
        <w:t>331</w:t>
      </w:r>
      <w:r w:rsidRPr="00AE5B9D">
        <w:rPr>
          <w:rFonts w:ascii="Times New Roman" w:eastAsia="仿宋" w:hAnsi="Times New Roman" w:cs="Times New Roman"/>
          <w:sz w:val="24"/>
          <w:szCs w:val="24"/>
        </w:rPr>
        <w:t>个真实消防机关</w:t>
      </w:r>
      <w:r w:rsidRPr="00AE5B9D">
        <w:rPr>
          <w:rFonts w:ascii="Times New Roman" w:eastAsia="仿宋" w:hAnsi="Times New Roman" w:cs="Times New Roman"/>
          <w:sz w:val="24"/>
          <w:szCs w:val="24"/>
        </w:rPr>
        <w:t>,</w:t>
      </w:r>
      <w:r w:rsidRPr="00AE5B9D">
        <w:rPr>
          <w:rFonts w:ascii="Times New Roman" w:eastAsia="仿宋" w:hAnsi="Times New Roman" w:cs="Times New Roman"/>
          <w:sz w:val="24"/>
          <w:szCs w:val="24"/>
        </w:rPr>
        <w:t>供应点候选集大幅收紧</w:t>
      </w:r>
      <w:r w:rsidR="004A33D3">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(2)</w:t>
      </w:r>
      <w:r w:rsidRPr="00AE5B9D">
        <w:rPr>
          <w:rFonts w:ascii="Times New Roman" w:eastAsia="仿宋" w:hAnsi="Times New Roman" w:cs="Times New Roman"/>
          <w:sz w:val="24"/>
          <w:szCs w:val="24"/>
        </w:rPr>
        <w:t>路网封闭比例仅</w:t>
      </w:r>
      <w:r w:rsidRPr="00AE5B9D">
        <w:rPr>
          <w:rFonts w:ascii="Times New Roman" w:eastAsia="仿宋" w:hAnsi="Times New Roman" w:cs="Times New Roman"/>
          <w:sz w:val="24"/>
          <w:szCs w:val="24"/>
        </w:rPr>
        <w:t>19.1%</w:t>
      </w:r>
      <w:r w:rsidR="006775B7">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道路损伤较轻</w:t>
      </w:r>
      <w:r w:rsidR="004D3ED8">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直送路径在大多数情况下仍可达</w:t>
      </w:r>
      <w:r w:rsidR="00266EE9">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(3)</w:t>
      </w:r>
      <w:r w:rsidRPr="00AE5B9D">
        <w:rPr>
          <w:rFonts w:ascii="Times New Roman" w:eastAsia="仿宋" w:hAnsi="Times New Roman" w:cs="Times New Roman"/>
          <w:sz w:val="24"/>
          <w:szCs w:val="24"/>
        </w:rPr>
        <w:t>贪心构造算法的接力触发阈值过低</w:t>
      </w:r>
      <w:r w:rsidR="00D60CE8">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导致大量本可直送的任务被错误地分配为接力模式</w:t>
      </w:r>
      <w:r w:rsidRPr="00AE5B9D">
        <w:rPr>
          <w:rFonts w:ascii="Times New Roman" w:eastAsia="仿宋" w:hAnsi="Times New Roman" w:cs="Times New Roman"/>
          <w:sz w:val="24"/>
          <w:szCs w:val="24"/>
        </w:rPr>
        <w:t>(34</w:t>
      </w:r>
      <w:r w:rsidRPr="00AE5B9D">
        <w:rPr>
          <w:rFonts w:ascii="Times New Roman" w:eastAsia="仿宋" w:hAnsi="Times New Roman" w:cs="Times New Roman"/>
          <w:sz w:val="24"/>
          <w:szCs w:val="24"/>
        </w:rPr>
        <w:t>项</w:t>
      </w:r>
      <w:r w:rsidRPr="00AE5B9D">
        <w:rPr>
          <w:rFonts w:ascii="Times New Roman" w:eastAsia="仿宋" w:hAnsi="Times New Roman" w:cs="Times New Roman"/>
          <w:sz w:val="24"/>
          <w:szCs w:val="24"/>
        </w:rPr>
        <w:t xml:space="preserve"> vs </w:t>
      </w:r>
      <w:r w:rsidRPr="00AE5B9D">
        <w:rPr>
          <w:rFonts w:ascii="Times New Roman" w:eastAsia="仿宋" w:hAnsi="Times New Roman" w:cs="Times New Roman"/>
          <w:sz w:val="24"/>
          <w:szCs w:val="24"/>
        </w:rPr>
        <w:t>旧版的</w:t>
      </w:r>
      <w:r w:rsidRPr="00AE5B9D">
        <w:rPr>
          <w:rFonts w:ascii="Times New Roman" w:eastAsia="仿宋" w:hAnsi="Times New Roman" w:cs="Times New Roman"/>
          <w:sz w:val="24"/>
          <w:szCs w:val="24"/>
        </w:rPr>
        <w:t>4</w:t>
      </w:r>
      <w:r w:rsidRPr="00AE5B9D">
        <w:rPr>
          <w:rFonts w:ascii="Times New Roman" w:eastAsia="仿宋" w:hAnsi="Times New Roman" w:cs="Times New Roman"/>
          <w:sz w:val="24"/>
          <w:szCs w:val="24"/>
        </w:rPr>
        <w:t>项</w:t>
      </w:r>
      <w:r w:rsidRPr="00AE5B9D">
        <w:rPr>
          <w:rFonts w:ascii="Times New Roman" w:eastAsia="仿宋" w:hAnsi="Times New Roman" w:cs="Times New Roman"/>
          <w:sz w:val="24"/>
          <w:szCs w:val="24"/>
        </w:rPr>
        <w:t>)</w:t>
      </w:r>
      <w:r w:rsidRPr="00AE5B9D">
        <w:rPr>
          <w:rFonts w:ascii="Times New Roman" w:eastAsia="仿宋" w:hAnsi="Times New Roman" w:cs="Times New Roman"/>
          <w:sz w:val="24"/>
          <w:szCs w:val="24"/>
        </w:rPr>
        <w:t>。这一负向结果与</w:t>
      </w:r>
      <w:r w:rsidRPr="00AE5B9D">
        <w:rPr>
          <w:rFonts w:ascii="Times New Roman" w:eastAsia="仿宋" w:hAnsi="Times New Roman" w:cs="Times New Roman"/>
          <w:sz w:val="24"/>
          <w:szCs w:val="24"/>
        </w:rPr>
        <w:t>Zhang</w:t>
      </w:r>
      <w:r w:rsidRPr="00AE5B9D">
        <w:rPr>
          <w:rFonts w:ascii="Times New Roman" w:eastAsia="仿宋" w:hAnsi="Times New Roman" w:cs="Times New Roman"/>
          <w:sz w:val="24"/>
          <w:szCs w:val="24"/>
        </w:rPr>
        <w:t>等</w:t>
      </w:r>
      <w:bookmarkStart w:id="56" w:name="OLE_LINK130"/>
      <w:bookmarkStart w:id="57" w:name="OLE_LINK131"/>
      <w:r w:rsidR="00DF582E">
        <w:rPr>
          <w:rFonts w:ascii="Times New Roman" w:eastAsia="仿宋" w:hAnsi="Times New Roman" w:cs="Times New Roman"/>
          <w:sz w:val="24"/>
          <w:szCs w:val="24"/>
        </w:rPr>
        <w:fldChar w:fldCharType="begin"/>
      </w:r>
      <w:r w:rsidR="00DF582E">
        <w:rPr>
          <w:rFonts w:ascii="Times New Roman" w:eastAsia="仿宋" w:hAnsi="Times New Roman" w:cs="Times New Roman"/>
          <w:sz w:val="24"/>
          <w:szCs w:val="24"/>
        </w:rPr>
        <w:instrText xml:space="preserve"> ADDIN EN.CITE &lt;EndNote&gt;&lt;Cite&gt;&lt;Author&gt;Zhang&lt;/Author&gt;&lt;Year&gt;2023&lt;/Year&gt;&lt;RecNum&gt;199&lt;/RecNum&gt;&lt;DisplayText&gt;&lt;style face="superscript"&gt;[8]&lt;/style&gt;&lt;/DisplayText&gt;&lt;record&gt;&lt;rec-number&gt;199&lt;/rec-number&gt;&lt;foreign-keys&gt;&lt;key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DF582E">
        <w:rPr>
          <w:rFonts w:ascii="Times New Roman" w:eastAsia="仿宋" w:hAnsi="Times New Roman" w:cs="Times New Roman"/>
          <w:sz w:val="24"/>
          <w:szCs w:val="24"/>
        </w:rPr>
        <w:fldChar w:fldCharType="separate"/>
      </w:r>
      <w:r w:rsidR="00DF582E">
        <w:rPr>
          <w:rFonts w:ascii="Times New Roman" w:eastAsia="仿宋" w:hAnsi="Times New Roman" w:cs="Times New Roman"/>
          <w:noProof/>
          <w:sz w:val="24"/>
          <w:szCs w:val="24"/>
          <w:vertAlign w:val="superscript"/>
        </w:rPr>
        <w:t>[8]</w:t>
      </w:r>
      <w:r w:rsidR="00DF582E">
        <w:rPr>
          <w:rFonts w:ascii="Times New Roman" w:eastAsia="仿宋" w:hAnsi="Times New Roman" w:cs="Times New Roman"/>
          <w:sz w:val="24"/>
          <w:szCs w:val="24"/>
        </w:rPr>
        <w:fldChar w:fldCharType="end"/>
      </w:r>
      <w:bookmarkEnd w:id="56"/>
      <w:bookmarkEnd w:id="57"/>
      <w:r w:rsidR="00D245F2">
        <w:rPr>
          <w:rFonts w:ascii="Times New Roman" w:eastAsia="仿宋" w:hAnsi="Times New Roman" w:cs="Times New Roman" w:hint="eastAsia"/>
          <w:sz w:val="24"/>
          <w:szCs w:val="24"/>
        </w:rPr>
        <w:t xml:space="preserve"> </w:t>
      </w:r>
      <w:r w:rsidR="00D245F2">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无人机价值在大规模路网破坏下才显著</w:t>
      </w:r>
      <w:r w:rsidR="00976C66">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的结论高度一致。实践含义</w:t>
      </w:r>
      <w:r w:rsidR="0067244C">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在轻度受损场景下</w:t>
      </w:r>
      <w:r w:rsidR="00B51CE4">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调度算法应保留直送优先级</w:t>
      </w:r>
      <w:r w:rsidR="00C4492B">
        <w:rPr>
          <w:rFonts w:ascii="Times New Roman" w:eastAsia="仿宋" w:hAnsi="Times New Roman" w:cs="Times New Roman" w:hint="eastAsia"/>
          <w:sz w:val="24"/>
          <w:szCs w:val="24"/>
        </w:rPr>
        <w:t>，</w:t>
      </w:r>
      <w:r w:rsidRPr="00AE5B9D">
        <w:rPr>
          <w:rFonts w:ascii="Times New Roman" w:eastAsia="仿宋" w:hAnsi="Times New Roman" w:cs="Times New Roman"/>
          <w:sz w:val="24"/>
          <w:szCs w:val="24"/>
        </w:rPr>
        <w:t>仅当直送行程时间超过阈值或目的地位于封闭区内时才触发接力配送。</w:t>
      </w:r>
    </w:p>
    <w:p w14:paraId="5CB53E71"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5.4  </w:t>
      </w:r>
      <w:r>
        <w:rPr>
          <w:rFonts w:ascii="Times New Roman" w:eastAsia="仿宋" w:hAnsi="Times New Roman" w:cs="Times New Roman" w:hint="eastAsia"/>
          <w:color w:val="3B5AA2"/>
          <w:position w:val="16"/>
          <w:sz w:val="32"/>
        </w:rPr>
        <w:t>分层疏散策略的政策含义</w:t>
      </w:r>
    </w:p>
    <w:p w14:paraId="30295E40"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的总体疏散完成率需要结合</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分区策略的设计逻辑进行解读。该策略的核心理念是“按需响应”而非“全员疏散”——仅对高浓度区域的高风险人群实施强制疏散，其余人群就地避难并通过物资配送保障安全。这一设计将需疏散人口从</w:t>
      </w:r>
      <w:r>
        <w:rPr>
          <w:rFonts w:ascii="Times New Roman" w:eastAsia="仿宋" w:hAnsi="Times New Roman" w:cs="Times New Roman" w:hint="eastAsia"/>
          <w:sz w:val="24"/>
          <w:szCs w:val="24"/>
        </w:rPr>
        <w:t>23.5</w:t>
      </w:r>
      <w:r>
        <w:rPr>
          <w:rFonts w:ascii="Times New Roman" w:eastAsia="仿宋" w:hAnsi="Times New Roman" w:cs="Times New Roman" w:hint="eastAsia"/>
          <w:sz w:val="24"/>
          <w:szCs w:val="24"/>
        </w:rPr>
        <w:t>万缩减至</w:t>
      </w:r>
      <w:r>
        <w:rPr>
          <w:rFonts w:ascii="Times New Roman" w:eastAsia="仿宋" w:hAnsi="Times New Roman" w:cs="Times New Roman" w:hint="eastAsia"/>
          <w:sz w:val="24"/>
          <w:szCs w:val="24"/>
        </w:rPr>
        <w:t>1.38</w:t>
      </w:r>
      <w:r>
        <w:rPr>
          <w:rFonts w:ascii="Times New Roman" w:eastAsia="仿宋" w:hAnsi="Times New Roman" w:cs="Times New Roman" w:hint="eastAsia"/>
          <w:sz w:val="24"/>
          <w:szCs w:val="24"/>
        </w:rPr>
        <w:t>万，使有限的车队能够集中服务最需要帮助的群体，</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类脆弱群体由此实现了</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疏散。</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w:t>
      </w:r>
      <w:r>
        <w:rPr>
          <w:rFonts w:ascii="Times New Roman" w:eastAsia="仿宋" w:hAnsi="Times New Roman" w:cs="Times New Roman" w:hint="eastAsia"/>
          <w:sz w:val="24"/>
          <w:szCs w:val="24"/>
        </w:rPr>
        <w:t>2.8%</w:t>
      </w:r>
      <w:r>
        <w:rPr>
          <w:rFonts w:ascii="Times New Roman" w:eastAsia="仿宋" w:hAnsi="Times New Roman" w:cs="Times New Roman" w:hint="eastAsia"/>
          <w:sz w:val="24"/>
          <w:szCs w:val="24"/>
        </w:rPr>
        <w:t>的低疏散率揭示了关键瓶颈：</w:t>
      </w:r>
      <w:r>
        <w:rPr>
          <w:rFonts w:ascii="Times New Roman" w:eastAsia="仿宋" w:hAnsi="Times New Roman" w:cs="Times New Roman" w:hint="eastAsia"/>
          <w:sz w:val="24"/>
          <w:szCs w:val="24"/>
        </w:rPr>
        <w:t>ERPG-1</w:t>
      </w:r>
      <w:r>
        <w:rPr>
          <w:rFonts w:ascii="Times New Roman" w:eastAsia="仿宋" w:hAnsi="Times New Roman" w:cs="Times New Roman" w:hint="eastAsia"/>
          <w:sz w:val="24"/>
          <w:szCs w:val="24"/>
        </w:rPr>
        <w:t>区域（轻微不适级别）按</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估算的重伤人口约</w:t>
      </w:r>
      <w:r>
        <w:rPr>
          <w:rFonts w:ascii="Times New Roman" w:eastAsia="仿宋" w:hAnsi="Times New Roman" w:cs="Times New Roman" w:hint="eastAsia"/>
          <w:sz w:val="24"/>
          <w:szCs w:val="24"/>
        </w:rPr>
        <w:t>8,100</w:t>
      </w:r>
      <w:r>
        <w:rPr>
          <w:rFonts w:ascii="Times New Roman" w:eastAsia="仿宋" w:hAnsi="Times New Roman" w:cs="Times New Roman" w:hint="eastAsia"/>
          <w:sz w:val="24"/>
          <w:szCs w:val="24"/>
        </w:rPr>
        <w:t>人，但该区域浓度较低，实际重伤比例应远低于核心区。后续研究应建立浓度依赖的重伤率模型（如</w:t>
      </w:r>
      <w:r>
        <w:rPr>
          <w:rFonts w:ascii="Times New Roman" w:eastAsia="仿宋" w:hAnsi="Times New Roman" w:cs="Times New Roman" w:hint="eastAsia"/>
          <w:sz w:val="24"/>
          <w:szCs w:val="24"/>
        </w:rPr>
        <w:t>ERPG-3</w:t>
      </w:r>
      <w:r>
        <w:rPr>
          <w:rFonts w:ascii="Times New Roman" w:eastAsia="仿宋" w:hAnsi="Times New Roman" w:cs="Times New Roman" w:hint="eastAsia"/>
          <w:sz w:val="24"/>
          <w:szCs w:val="24"/>
        </w:rPr>
        <w:t>区</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区</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lastRenderedPageBreak/>
        <w:t>ERPG-1</w:t>
      </w:r>
      <w:r>
        <w:rPr>
          <w:rFonts w:ascii="Times New Roman" w:eastAsia="仿宋" w:hAnsi="Times New Roman" w:cs="Times New Roman" w:hint="eastAsia"/>
          <w:sz w:val="24"/>
          <w:szCs w:val="24"/>
        </w:rPr>
        <w:t>区</w:t>
      </w:r>
      <w:r>
        <w:rPr>
          <w:rFonts w:ascii="Times New Roman" w:eastAsia="仿宋" w:hAnsi="Times New Roman" w:cs="Times New Roman" w:hint="eastAsia"/>
          <w:sz w:val="24"/>
          <w:szCs w:val="24"/>
        </w:rPr>
        <w:t>0.2%</w:t>
      </w:r>
      <w:r>
        <w:rPr>
          <w:rFonts w:ascii="Times New Roman" w:eastAsia="仿宋" w:hAnsi="Times New Roman" w:cs="Times New Roman" w:hint="eastAsia"/>
          <w:sz w:val="24"/>
          <w:szCs w:val="24"/>
        </w:rPr>
        <w:t>），使</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人口估算更贴合实际。同时，</w:t>
      </w:r>
      <w:r>
        <w:rPr>
          <w:rFonts w:ascii="Times New Roman" w:eastAsia="仿宋" w:hAnsi="Times New Roman" w:cs="Times New Roman" w:hint="eastAsia"/>
          <w:sz w:val="24"/>
          <w:szCs w:val="24"/>
        </w:rPr>
        <w:t>41.3</w:t>
      </w:r>
      <w:r>
        <w:rPr>
          <w:rFonts w:ascii="Times New Roman" w:eastAsia="仿宋" w:hAnsi="Times New Roman" w:cs="Times New Roman" w:hint="eastAsia"/>
          <w:sz w:val="24"/>
          <w:szCs w:val="24"/>
        </w:rPr>
        <w:t>万就地避难人口的物资保障需求（防毒面具、饮用水等）与疏散形成了真正的“向心—离心”协同，验证了本研究“双链耦合”框架的必要性。</w:t>
      </w:r>
    </w:p>
    <w:p w14:paraId="3E1197FD"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5.5  </w:t>
      </w:r>
      <w:r>
        <w:rPr>
          <w:rFonts w:ascii="Times New Roman" w:eastAsia="仿宋" w:hAnsi="Times New Roman" w:cs="Times New Roman" w:hint="eastAsia"/>
          <w:color w:val="3B5AA2"/>
          <w:position w:val="16"/>
          <w:sz w:val="32"/>
        </w:rPr>
        <w:t>研究局限</w:t>
      </w:r>
    </w:p>
    <w:p w14:paraId="44009D7A"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本研究存在以下局限性：（</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）贪心启发式</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局部搜索算法虽然计算效率高，但不保证全局最优解，后续应探索混合整数规划精确方法或自适应大邻域搜索等元启发式方法；（</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）人口空间分布基于手机定位数据，年龄结构采用区县级均匀假设，引入建筑级人口模型将提升疏散需求估算精度；（</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）静态高斯烟羽模型无法捕捉时变泄漏速率和复杂地形效应，耦合计算流体动力学（</w:t>
      </w:r>
      <w:r>
        <w:rPr>
          <w:rFonts w:ascii="Times New Roman" w:eastAsia="仿宋" w:hAnsi="Times New Roman" w:cs="Times New Roman" w:hint="eastAsia"/>
          <w:sz w:val="24"/>
          <w:szCs w:val="24"/>
        </w:rPr>
        <w:t>CFD</w:t>
      </w:r>
      <w:r>
        <w:rPr>
          <w:rFonts w:ascii="Times New Roman" w:eastAsia="仿宋" w:hAnsi="Times New Roman" w:cs="Times New Roman" w:hint="eastAsia"/>
          <w:sz w:val="24"/>
          <w:szCs w:val="24"/>
        </w:rPr>
        <w:t>）模型将提高扩散模拟精度；（</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）拥堵效应仅通过</w:t>
      </w:r>
      <w:r>
        <w:rPr>
          <w:rFonts w:ascii="Times New Roman" w:eastAsia="仿宋" w:hAnsi="Times New Roman" w:cs="Times New Roman" w:hint="eastAsia"/>
          <w:sz w:val="24"/>
          <w:szCs w:val="24"/>
        </w:rPr>
        <w:t>BPR</w:t>
      </w:r>
      <w:r>
        <w:rPr>
          <w:rFonts w:ascii="Times New Roman" w:eastAsia="仿宋" w:hAnsi="Times New Roman" w:cs="Times New Roman" w:hint="eastAsia"/>
          <w:sz w:val="24"/>
          <w:szCs w:val="24"/>
        </w:rPr>
        <w:t>函数静态估算，未考虑疏散过程中的动态交通流反馈，后续可耦合中观或微观交通仿真模型；（</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）受影响人口以</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圆形区域统计，未精确匹配高斯烟羽的实际扇形覆盖范围，可能高估了疏散需求总量；疏散调度采用严格优先级策略且未为低优先级人群预留运力，后续可探索带运力配额的弹性优先级机制。</w:t>
      </w:r>
    </w:p>
    <w:p w14:paraId="66A61F9E"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hint="eastAsia"/>
          <w:color w:val="3B5AA2"/>
          <w:position w:val="16"/>
          <w:sz w:val="32"/>
          <w:szCs w:val="24"/>
        </w:rPr>
        <w:t xml:space="preserve">6  </w:t>
      </w:r>
      <w:r>
        <w:rPr>
          <w:rFonts w:ascii="Times New Roman" w:eastAsia="仿宋" w:hAnsi="Times New Roman" w:cs="Times New Roman" w:hint="eastAsia"/>
          <w:color w:val="3B5AA2"/>
          <w:position w:val="16"/>
          <w:sz w:val="32"/>
          <w:szCs w:val="24"/>
        </w:rPr>
        <w:t>结论</w:t>
      </w:r>
    </w:p>
    <w:p w14:paraId="0E17E97C"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6.1  </w:t>
      </w:r>
      <w:r>
        <w:rPr>
          <w:rFonts w:ascii="Times New Roman" w:eastAsia="仿宋" w:hAnsi="Times New Roman" w:cs="Times New Roman" w:hint="eastAsia"/>
          <w:color w:val="3B5AA2"/>
          <w:position w:val="16"/>
          <w:sz w:val="32"/>
        </w:rPr>
        <w:t>主要发现</w:t>
      </w:r>
    </w:p>
    <w:p w14:paraId="466501E7"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本研究构建了应急物资配送与多类型人员疏散的协同优化框架，应用于北京六环路太和桥立交氯气泄漏事故模拟场景，主要发现包括：</w:t>
      </w:r>
    </w:p>
    <w:p w14:paraId="2C06DC2D"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）基于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分区的差异化响应策略有效聚焦了疏散资源，将需疏散人口从</w:t>
      </w:r>
      <w:r>
        <w:rPr>
          <w:rFonts w:ascii="Times New Roman" w:eastAsia="仿宋" w:hAnsi="Times New Roman" w:cs="Times New Roman" w:hint="eastAsia"/>
          <w:sz w:val="24"/>
          <w:szCs w:val="24"/>
        </w:rPr>
        <w:t>23.5</w:t>
      </w:r>
      <w:r>
        <w:rPr>
          <w:rFonts w:ascii="Times New Roman" w:eastAsia="仿宋" w:hAnsi="Times New Roman" w:cs="Times New Roman" w:hint="eastAsia"/>
          <w:sz w:val="24"/>
          <w:szCs w:val="24"/>
        </w:rPr>
        <w:t>万缩减至</w:t>
      </w:r>
      <w:r>
        <w:rPr>
          <w:rFonts w:ascii="Times New Roman" w:eastAsia="仿宋" w:hAnsi="Times New Roman" w:cs="Times New Roman" w:hint="eastAsia"/>
          <w:sz w:val="24"/>
          <w:szCs w:val="24"/>
        </w:rPr>
        <w:t>1.38</w:t>
      </w:r>
      <w:r>
        <w:rPr>
          <w:rFonts w:ascii="Times New Roman" w:eastAsia="仿宋" w:hAnsi="Times New Roman" w:cs="Times New Roman" w:hint="eastAsia"/>
          <w:sz w:val="24"/>
          <w:szCs w:val="24"/>
        </w:rPr>
        <w:t>万，就地避难人口</w:t>
      </w:r>
      <w:r>
        <w:rPr>
          <w:rFonts w:ascii="Times New Roman" w:eastAsia="仿宋" w:hAnsi="Times New Roman" w:cs="Times New Roman" w:hint="eastAsia"/>
          <w:sz w:val="24"/>
          <w:szCs w:val="24"/>
        </w:rPr>
        <w:t>41.3</w:t>
      </w:r>
      <w:r>
        <w:rPr>
          <w:rFonts w:ascii="Times New Roman" w:eastAsia="仿宋" w:hAnsi="Times New Roman" w:cs="Times New Roman" w:hint="eastAsia"/>
          <w:sz w:val="24"/>
          <w:szCs w:val="24"/>
        </w:rPr>
        <w:t>万产生的物资需求使配送任务增加</w:t>
      </w:r>
      <w:r>
        <w:rPr>
          <w:rFonts w:ascii="Times New Roman" w:eastAsia="仿宋" w:hAnsi="Times New Roman" w:cs="Times New Roman" w:hint="eastAsia"/>
          <w:sz w:val="24"/>
          <w:szCs w:val="24"/>
        </w:rPr>
        <w:t>75%</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40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70</w:t>
      </w:r>
      <w:r>
        <w:rPr>
          <w:rFonts w:ascii="Times New Roman" w:eastAsia="仿宋" w:hAnsi="Times New Roman" w:cs="Times New Roman" w:hint="eastAsia"/>
          <w:sz w:val="24"/>
          <w:szCs w:val="24"/>
        </w:rPr>
        <w:t>项），物资配送与人员疏散形成实质性的</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向心—离心</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耦合。</w:t>
      </w:r>
    </w:p>
    <w:p w14:paraId="1E397B59"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）基准方案疏散率达</w:t>
      </w:r>
      <w:r>
        <w:rPr>
          <w:rFonts w:ascii="Times New Roman" w:eastAsia="仿宋" w:hAnsi="Times New Roman" w:cs="Times New Roman" w:hint="eastAsia"/>
          <w:sz w:val="24"/>
          <w:szCs w:val="24"/>
        </w:rPr>
        <w:t>41.0%</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k=2</w:t>
      </w:r>
      <w:r>
        <w:rPr>
          <w:rFonts w:ascii="Times New Roman" w:eastAsia="仿宋" w:hAnsi="Times New Roman" w:cs="Times New Roman" w:hint="eastAsia"/>
          <w:sz w:val="24"/>
          <w:szCs w:val="24"/>
        </w:rPr>
        <w:t>类脆弱群体实现</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疏散，但</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类重伤人员仅</w:t>
      </w:r>
      <w:r>
        <w:rPr>
          <w:rFonts w:ascii="Times New Roman" w:eastAsia="仿宋" w:hAnsi="Times New Roman" w:cs="Times New Roman" w:hint="eastAsia"/>
          <w:sz w:val="24"/>
          <w:szCs w:val="24"/>
        </w:rPr>
        <w:t>2.8%</w:t>
      </w:r>
      <w:r>
        <w:rPr>
          <w:rFonts w:ascii="Times New Roman" w:eastAsia="仿宋" w:hAnsi="Times New Roman" w:cs="Times New Roman" w:hint="eastAsia"/>
          <w:sz w:val="24"/>
          <w:szCs w:val="24"/>
        </w:rPr>
        <w:t>——瓶颈在于专用急救运力（救护车</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直升机）与远距离低浓度区域估算的重伤人口之间的结构性失衡。</w:t>
      </w:r>
    </w:p>
    <w:p w14:paraId="1E3DC65F"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）基于优先级的调度有效保护了脆弱群体，</w:t>
      </w:r>
      <w:r>
        <w:rPr>
          <w:rFonts w:ascii="Times New Roman" w:eastAsia="仿宋" w:hAnsi="Times New Roman" w:cs="Times New Roman" w:hint="eastAsia"/>
          <w:sz w:val="24"/>
          <w:szCs w:val="24"/>
        </w:rPr>
        <w:t>ERPG-2</w:t>
      </w:r>
      <w:r>
        <w:rPr>
          <w:rFonts w:ascii="Times New Roman" w:eastAsia="仿宋" w:hAnsi="Times New Roman" w:cs="Times New Roman" w:hint="eastAsia"/>
          <w:sz w:val="24"/>
          <w:szCs w:val="24"/>
        </w:rPr>
        <w:t>区域整体疏散率达</w:t>
      </w:r>
      <w:r>
        <w:rPr>
          <w:rFonts w:ascii="Times New Roman" w:eastAsia="仿宋" w:hAnsi="Times New Roman" w:cs="Times New Roman" w:hint="eastAsia"/>
          <w:sz w:val="24"/>
          <w:szCs w:val="24"/>
        </w:rPr>
        <w:t>93.1%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lastRenderedPageBreak/>
        <w:t>浓度依赖的重伤率模型是提升</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疏散率估算精度的关键方向。</w:t>
      </w:r>
    </w:p>
    <w:p w14:paraId="42EFF777"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）交通系统呈现结构性不对称韧性——物资配送功能韧性较高（</w:t>
      </w:r>
      <w:r>
        <w:rPr>
          <w:rFonts w:ascii="Times New Roman" w:eastAsia="仿宋" w:hAnsi="Times New Roman" w:cs="Times New Roman" w:hint="eastAsia"/>
          <w:sz w:val="24"/>
          <w:szCs w:val="24"/>
        </w:rPr>
        <w:t>91.4%</w:t>
      </w:r>
      <w:r>
        <w:rPr>
          <w:rFonts w:ascii="Times New Roman" w:eastAsia="仿宋" w:hAnsi="Times New Roman" w:cs="Times New Roman" w:hint="eastAsia"/>
          <w:sz w:val="24"/>
          <w:szCs w:val="24"/>
        </w:rPr>
        <w:t>完成率、生命救援</w:t>
      </w:r>
      <w:r>
        <w:rPr>
          <w:rFonts w:ascii="Times New Roman" w:eastAsia="仿宋" w:hAnsi="Times New Roman" w:cs="Times New Roman" w:hint="eastAsia"/>
          <w:sz w:val="24"/>
          <w:szCs w:val="24"/>
        </w:rPr>
        <w:t>100%</w:t>
      </w:r>
      <w:r>
        <w:rPr>
          <w:rFonts w:ascii="Times New Roman" w:eastAsia="仿宋" w:hAnsi="Times New Roman" w:cs="Times New Roman" w:hint="eastAsia"/>
          <w:sz w:val="24"/>
          <w:szCs w:val="24"/>
        </w:rPr>
        <w:t>准时）但受限于库存规模，</w:t>
      </w:r>
      <w:r>
        <w:rPr>
          <w:rFonts w:ascii="Times New Roman" w:eastAsia="仿宋" w:hAnsi="Times New Roman" w:cs="Times New Roman" w:hint="eastAsia"/>
          <w:sz w:val="24"/>
          <w:szCs w:val="24"/>
        </w:rPr>
        <w:t>k=1</w:t>
      </w:r>
      <w:r>
        <w:rPr>
          <w:rFonts w:ascii="Times New Roman" w:eastAsia="仿宋" w:hAnsi="Times New Roman" w:cs="Times New Roman" w:hint="eastAsia"/>
          <w:sz w:val="24"/>
          <w:szCs w:val="24"/>
        </w:rPr>
        <w:t>类急救疏散运力严重不足（</w:t>
      </w:r>
      <w:r>
        <w:rPr>
          <w:rFonts w:ascii="Times New Roman" w:eastAsia="仿宋" w:hAnsi="Times New Roman" w:cs="Times New Roman" w:hint="eastAsia"/>
          <w:sz w:val="24"/>
          <w:szCs w:val="24"/>
        </w:rPr>
        <w:t>2.8%</w:t>
      </w:r>
      <w:r>
        <w:rPr>
          <w:rFonts w:ascii="Times New Roman" w:eastAsia="仿宋" w:hAnsi="Times New Roman" w:cs="Times New Roman" w:hint="eastAsia"/>
          <w:sz w:val="24"/>
          <w:szCs w:val="24"/>
        </w:rPr>
        <w:t>完成率），需要针对性地增配救护车</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直升机资源并优化应急仓库布局。</w:t>
      </w:r>
    </w:p>
    <w:p w14:paraId="0AF5589D"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6.2  </w:t>
      </w:r>
      <w:r>
        <w:rPr>
          <w:rFonts w:ascii="Times New Roman" w:eastAsia="仿宋" w:hAnsi="Times New Roman" w:cs="Times New Roman" w:hint="eastAsia"/>
          <w:color w:val="3B5AA2"/>
          <w:position w:val="16"/>
          <w:sz w:val="32"/>
        </w:rPr>
        <w:t>政策建议</w:t>
      </w:r>
    </w:p>
    <w:p w14:paraId="01554459"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）建立和完善地铁应急运营预案，确保在危险品事故发生后能够快速启动地铁应急运营。</w:t>
      </w:r>
    </w:p>
    <w:p w14:paraId="3F2BBE7C"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）采用分层疏散策略：</w:t>
      </w:r>
      <w:r>
        <w:rPr>
          <w:rFonts w:ascii="Times New Roman" w:eastAsia="仿宋" w:hAnsi="Times New Roman" w:cs="Times New Roman" w:hint="eastAsia"/>
          <w:sz w:val="24"/>
          <w:szCs w:val="24"/>
        </w:rPr>
        <w:t>1 km</w:t>
      </w:r>
      <w:r>
        <w:rPr>
          <w:rFonts w:ascii="Times New Roman" w:eastAsia="仿宋" w:hAnsi="Times New Roman" w:cs="Times New Roman" w:hint="eastAsia"/>
          <w:sz w:val="24"/>
          <w:szCs w:val="24"/>
        </w:rPr>
        <w:t>核心区实施强制疏散，</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 km</w:t>
      </w:r>
      <w:r>
        <w:rPr>
          <w:rFonts w:ascii="Times New Roman" w:eastAsia="仿宋" w:hAnsi="Times New Roman" w:cs="Times New Roman" w:hint="eastAsia"/>
          <w:sz w:val="24"/>
          <w:szCs w:val="24"/>
        </w:rPr>
        <w:t>外围区实施就地避难并配发防护设备。</w:t>
      </w:r>
    </w:p>
    <w:p w14:paraId="0C375EB6"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）在高风险走廊预置直升机资源，为重伤人员提供快速转运能力。</w:t>
      </w:r>
    </w:p>
    <w:p w14:paraId="43392BE2"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）投资无人机基础设施，在更严重的破坏条件下接力配送优势将进一步凸显。</w:t>
      </w:r>
    </w:p>
    <w:p w14:paraId="035546AF" w14:textId="77777777" w:rsidR="005E37C1" w:rsidRPr="005E37C1" w:rsidRDefault="005E37C1" w:rsidP="005E37C1">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）将实时风向监测与疏散规划整合，基于气象数据动态更新危险区域并触发分区疏散指令。</w:t>
      </w:r>
    </w:p>
    <w:p w14:paraId="7985694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 xml:space="preserve">6.3  </w:t>
      </w:r>
      <w:r>
        <w:rPr>
          <w:rFonts w:ascii="Times New Roman" w:eastAsia="仿宋" w:hAnsi="Times New Roman" w:cs="Times New Roman" w:hint="eastAsia"/>
          <w:color w:val="3B5AA2"/>
          <w:position w:val="16"/>
          <w:sz w:val="32"/>
        </w:rPr>
        <w:t>未来方向</w:t>
      </w:r>
    </w:p>
    <w:p w14:paraId="0E24FAD4" w14:textId="77777777" w:rsidR="00B04ED1" w:rsidRDefault="005E37C1" w:rsidP="00700088">
      <w:pPr>
        <w:spacing w:after="120" w:line="360" w:lineRule="auto"/>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后续研究可从以下方向拓展：（</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）采用</w:t>
      </w:r>
      <w:r>
        <w:rPr>
          <w:rFonts w:ascii="Times New Roman" w:eastAsia="仿宋" w:hAnsi="Times New Roman" w:cs="Times New Roman" w:hint="eastAsia"/>
          <w:sz w:val="24"/>
          <w:szCs w:val="24"/>
        </w:rPr>
        <w:t>MIP</w:t>
      </w:r>
      <w:r>
        <w:rPr>
          <w:rFonts w:ascii="Times New Roman" w:eastAsia="仿宋" w:hAnsi="Times New Roman" w:cs="Times New Roman" w:hint="eastAsia"/>
          <w:sz w:val="24"/>
          <w:szCs w:val="24"/>
        </w:rPr>
        <w:t>精确方法求解小规模实例以提供最优性基准，或采用自适应大邻域搜索（</w:t>
      </w:r>
      <w:r>
        <w:rPr>
          <w:rFonts w:ascii="Times New Roman" w:eastAsia="仿宋" w:hAnsi="Times New Roman" w:cs="Times New Roman" w:hint="eastAsia"/>
          <w:sz w:val="24"/>
          <w:szCs w:val="24"/>
        </w:rPr>
        <w:t>ALNS</w:t>
      </w:r>
      <w:r>
        <w:rPr>
          <w:rFonts w:ascii="Times New Roman" w:eastAsia="仿宋" w:hAnsi="Times New Roman" w:cs="Times New Roman" w:hint="eastAsia"/>
          <w:sz w:val="24"/>
          <w:szCs w:val="24"/>
        </w:rPr>
        <w:t>）等元启发式方法处理实际规模问题；（</w:t>
      </w: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）耦合</w:t>
      </w:r>
      <w:r>
        <w:rPr>
          <w:rFonts w:ascii="Times New Roman" w:eastAsia="仿宋" w:hAnsi="Times New Roman" w:cs="Times New Roman" w:hint="eastAsia"/>
          <w:sz w:val="24"/>
          <w:szCs w:val="24"/>
        </w:rPr>
        <w:t>CFD</w:t>
      </w:r>
      <w:r>
        <w:rPr>
          <w:rFonts w:ascii="Times New Roman" w:eastAsia="仿宋" w:hAnsi="Times New Roman" w:cs="Times New Roman" w:hint="eastAsia"/>
          <w:sz w:val="24"/>
          <w:szCs w:val="24"/>
        </w:rPr>
        <w:t>模型提高扩散模拟精度；（</w:t>
      </w:r>
      <w:r>
        <w:rPr>
          <w:rFonts w:ascii="Times New Roman" w:eastAsia="仿宋" w:hAnsi="Times New Roman" w:cs="Times New Roman" w:hint="eastAsia"/>
          <w:sz w:val="24"/>
          <w:szCs w:val="24"/>
        </w:rPr>
        <w:t>3</w:t>
      </w:r>
      <w:r>
        <w:rPr>
          <w:rFonts w:ascii="Times New Roman" w:eastAsia="仿宋" w:hAnsi="Times New Roman" w:cs="Times New Roman" w:hint="eastAsia"/>
          <w:sz w:val="24"/>
          <w:szCs w:val="24"/>
        </w:rPr>
        <w:t>）耦合中微观交通仿真模型获取更真实的动态出行时间估计；（</w:t>
      </w:r>
      <w:r>
        <w:rPr>
          <w:rFonts w:ascii="Times New Roman" w:eastAsia="仿宋" w:hAnsi="Times New Roman" w:cs="Times New Roman" w:hint="eastAsia"/>
          <w:sz w:val="24"/>
          <w:szCs w:val="24"/>
        </w:rPr>
        <w:t>4</w:t>
      </w:r>
      <w:r>
        <w:rPr>
          <w:rFonts w:ascii="Times New Roman" w:eastAsia="仿宋" w:hAnsi="Times New Roman" w:cs="Times New Roman" w:hint="eastAsia"/>
          <w:sz w:val="24"/>
          <w:szCs w:val="24"/>
        </w:rPr>
        <w:t>）引入建筑级人口模型提升疏散需求估算精度；（</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）结合实际应急预案数据对车队规模与库存参数进行标定；（</w:t>
      </w:r>
      <w:r>
        <w:rPr>
          <w:rFonts w:ascii="Times New Roman" w:eastAsia="仿宋" w:hAnsi="Times New Roman" w:cs="Times New Roman" w:hint="eastAsia"/>
          <w:sz w:val="24"/>
          <w:szCs w:val="24"/>
        </w:rPr>
        <w:t>6</w:t>
      </w:r>
      <w:r>
        <w:rPr>
          <w:rFonts w:ascii="Times New Roman" w:eastAsia="仿宋" w:hAnsi="Times New Roman" w:cs="Times New Roman" w:hint="eastAsia"/>
          <w:sz w:val="24"/>
          <w:szCs w:val="24"/>
        </w:rPr>
        <w:t>）设计带运力配额的弹性优先级调度策略，在保护脆弱群体的前提下为一般人群预留疏散运力，并基于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等值线精细化疏散需求统计范围。</w:t>
      </w:r>
    </w:p>
    <w:p w14:paraId="3BB7513C" w14:textId="77777777" w:rsidR="00EB0048" w:rsidRPr="00230455" w:rsidRDefault="00000000" w:rsidP="00230455">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致谢</w:t>
      </w:r>
    </w:p>
    <w:p w14:paraId="02B449CF" w14:textId="77777777" w:rsidR="005D4318" w:rsidRPr="005D4318" w:rsidRDefault="005D4318" w:rsidP="00C85FA6">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本研究得到国家重点研发计划项目（课题编号：</w:t>
      </w:r>
      <w:r>
        <w:rPr>
          <w:rFonts w:ascii="Times New Roman" w:eastAsia="仿宋" w:hAnsi="Times New Roman" w:cs="Times New Roman"/>
          <w:sz w:val="24"/>
          <w:szCs w:val="24"/>
        </w:rPr>
        <w:t xml:space="preserve">2021YFA1000300, </w:t>
      </w:r>
      <w:r>
        <w:rPr>
          <w:rFonts w:ascii="Times New Roman" w:eastAsia="仿宋" w:hAnsi="Times New Roman" w:cs="Times New Roman"/>
          <w:sz w:val="24"/>
          <w:szCs w:val="24"/>
        </w:rPr>
        <w:lastRenderedPageBreak/>
        <w:t>2021YFA100030</w:t>
      </w:r>
      <w:r>
        <w:rPr>
          <w:rFonts w:ascii="Times New Roman" w:eastAsia="仿宋" w:hAnsi="Times New Roman" w:cs="Times New Roman" w:hint="eastAsia"/>
          <w:sz w:val="24"/>
          <w:szCs w:val="24"/>
        </w:rPr>
        <w:t>3</w:t>
      </w:r>
      <w:r>
        <w:rPr>
          <w:rFonts w:ascii="Times New Roman" w:eastAsia="仿宋" w:hAnsi="Times New Roman" w:cs="Times New Roman"/>
          <w:sz w:val="24"/>
          <w:szCs w:val="24"/>
        </w:rPr>
        <w:t>）的资助支持。</w:t>
      </w:r>
    </w:p>
    <w:p w14:paraId="598049F6" w14:textId="77777777" w:rsidR="00EB0048" w:rsidRDefault="00000000" w:rsidP="00F10BC7">
      <w:pPr>
        <w:spacing w:before="300" w:after="100"/>
        <w:jc w:val="left"/>
        <w:rPr>
          <w:rFonts w:ascii="Times New Roman" w:hAnsi="Times New Roman" w:cs="Times New Roman"/>
        </w:rPr>
      </w:pPr>
      <w:r>
        <w:rPr>
          <w:rFonts w:ascii="Times New Roman" w:eastAsia="黑体" w:hAnsi="Times New Roman" w:cs="Times New Roman"/>
          <w:b/>
          <w:bCs/>
          <w:sz w:val="24"/>
          <w:szCs w:val="24"/>
        </w:rPr>
        <w:t>参考文献</w:t>
      </w:r>
    </w:p>
    <w:p w14:paraId="6886B53B" w14:textId="77777777" w:rsidR="001F4249" w:rsidRPr="001F4249" w:rsidRDefault="00E9397C" w:rsidP="001F4249">
      <w:pPr>
        <w:pStyle w:val="EndNoteBibliography"/>
        <w:ind w:left="720" w:hanging="720"/>
        <w:rPr>
          <w:noProof/>
        </w:rPr>
      </w:pPr>
      <w:r>
        <w:fldChar w:fldCharType="begin"/>
      </w:r>
      <w:r>
        <w:instrText xml:space="preserve"> ADDIN EN.REFLIST </w:instrText>
      </w:r>
      <w:r>
        <w:fldChar w:fldCharType="separate"/>
      </w:r>
      <w:r w:rsidR="001F4249" w:rsidRPr="001F4249">
        <w:rPr>
          <w:noProof/>
        </w:rPr>
        <w:t>[1]</w:t>
      </w:r>
      <w:r w:rsidR="001F4249" w:rsidRPr="001F4249">
        <w:rPr>
          <w:noProof/>
        </w:rPr>
        <w:tab/>
        <w:t>FARAHANI R Z, LOTFI M M, BAGHAIAN A, et al. Mass casualty management in disaster scene: A systematic review of OR&amp;MS research in humanitarian operations [J]. European Journal of Operational Research, 2020, 287(3): 787-819.</w:t>
      </w:r>
    </w:p>
    <w:p w14:paraId="04A1F9A3" w14:textId="77777777" w:rsidR="001F4249" w:rsidRPr="001F4249" w:rsidRDefault="001F4249" w:rsidP="001F4249">
      <w:pPr>
        <w:pStyle w:val="EndNoteBibliography"/>
        <w:ind w:left="720" w:hanging="720"/>
        <w:rPr>
          <w:noProof/>
        </w:rPr>
      </w:pPr>
      <w:r w:rsidRPr="001F4249">
        <w:rPr>
          <w:noProof/>
        </w:rPr>
        <w:t>[2]</w:t>
      </w:r>
      <w:r w:rsidRPr="001F4249">
        <w:rPr>
          <w:noProof/>
        </w:rPr>
        <w:tab/>
        <w:t>ÖZDAMAR L, ERTEM M A. Models, solutions and enabling technologies in humanitarian logistics [J]. European Journal of Operational Research, 2015, 244(1): 55-65.</w:t>
      </w:r>
    </w:p>
    <w:p w14:paraId="0961C1CC" w14:textId="77777777" w:rsidR="001F4249" w:rsidRPr="001F4249" w:rsidRDefault="001F4249" w:rsidP="001F4249">
      <w:pPr>
        <w:pStyle w:val="EndNoteBibliography"/>
        <w:ind w:left="720" w:hanging="720"/>
        <w:rPr>
          <w:noProof/>
        </w:rPr>
      </w:pPr>
      <w:r w:rsidRPr="001F4249">
        <w:rPr>
          <w:noProof/>
        </w:rPr>
        <w:t>[3]</w:t>
      </w:r>
      <w:r w:rsidRPr="001F4249">
        <w:rPr>
          <w:noProof/>
        </w:rPr>
        <w:tab/>
        <w:t>KE G Y. Managing reliable emergency logistics for hazardous materials: A two-stage robust optimization approach [J]. Computers &amp; Operations Research, 2022, 138: 105557.</w:t>
      </w:r>
    </w:p>
    <w:p w14:paraId="6D76B040" w14:textId="77777777" w:rsidR="001F4249" w:rsidRPr="001F4249" w:rsidRDefault="001F4249" w:rsidP="001F4249">
      <w:pPr>
        <w:pStyle w:val="EndNoteBibliography"/>
        <w:ind w:left="720" w:hanging="720"/>
        <w:rPr>
          <w:noProof/>
        </w:rPr>
      </w:pPr>
      <w:r w:rsidRPr="001F4249">
        <w:rPr>
          <w:noProof/>
        </w:rPr>
        <w:t>[4]</w:t>
      </w:r>
      <w:r w:rsidRPr="001F4249">
        <w:rPr>
          <w:noProof/>
        </w:rPr>
        <w:tab/>
        <w:t>MURRAY C C, CHU A G. The flying sidekick traveling salesman problem: Optimization of drone-assisted parcel delivery [J]. Transportation Research Part C: Emerging Technologies, 2015, 54: 86-109.</w:t>
      </w:r>
    </w:p>
    <w:p w14:paraId="67A46652" w14:textId="77777777" w:rsidR="001F4249" w:rsidRPr="001F4249" w:rsidRDefault="001F4249" w:rsidP="001F4249">
      <w:pPr>
        <w:pStyle w:val="EndNoteBibliography"/>
        <w:ind w:left="720" w:hanging="720"/>
        <w:rPr>
          <w:noProof/>
        </w:rPr>
      </w:pPr>
      <w:r w:rsidRPr="001F4249">
        <w:rPr>
          <w:noProof/>
        </w:rPr>
        <w:t>[5]</w:t>
      </w:r>
      <w:r w:rsidRPr="001F4249">
        <w:rPr>
          <w:noProof/>
        </w:rPr>
        <w:tab/>
        <w:t>AGATZ N, BOUMAN P, SCHMIDT M. Optimization Approaches for the Traveling Salesman Problem with Drone [J]. Transportation Science, 2018, 52(4): 965–981.</w:t>
      </w:r>
    </w:p>
    <w:p w14:paraId="656F0547" w14:textId="77777777" w:rsidR="001F4249" w:rsidRPr="001F4249" w:rsidRDefault="001F4249" w:rsidP="001F4249">
      <w:pPr>
        <w:pStyle w:val="EndNoteBibliography"/>
        <w:ind w:left="720" w:hanging="720"/>
        <w:rPr>
          <w:noProof/>
        </w:rPr>
      </w:pPr>
      <w:r w:rsidRPr="001F4249">
        <w:rPr>
          <w:noProof/>
        </w:rPr>
        <w:t>[6]</w:t>
      </w:r>
      <w:r w:rsidRPr="001F4249">
        <w:rPr>
          <w:noProof/>
        </w:rPr>
        <w:tab/>
        <w:t>CHUNG S H, SAH B, LEE J. Optimization for drone and drone-truck combined operations: A review of the state of the art and future directions [J]. Computers &amp; Operations Research, 2020, 123: 105004.</w:t>
      </w:r>
    </w:p>
    <w:p w14:paraId="26636AF6" w14:textId="77777777" w:rsidR="001F4249" w:rsidRPr="001F4249" w:rsidRDefault="001F4249" w:rsidP="001F4249">
      <w:pPr>
        <w:pStyle w:val="EndNoteBibliography"/>
        <w:ind w:left="720" w:hanging="720"/>
        <w:rPr>
          <w:noProof/>
        </w:rPr>
      </w:pPr>
      <w:r w:rsidRPr="001F4249">
        <w:rPr>
          <w:noProof/>
        </w:rPr>
        <w:t>[7]</w:t>
      </w:r>
      <w:r w:rsidRPr="001F4249">
        <w:rPr>
          <w:noProof/>
        </w:rPr>
        <w:tab/>
        <w:t>LI H, CHEN J, WANG F, et al. Ground-vehicle and unmanned-aerial-vehicle routing problems from two-echelon scheme perspective: A review [J]. European Journal of Operational Research, 2021, 294(3): 1078-1095.</w:t>
      </w:r>
    </w:p>
    <w:p w14:paraId="78FE01B2" w14:textId="77777777" w:rsidR="001F4249" w:rsidRPr="001F4249" w:rsidRDefault="001F4249" w:rsidP="001F4249">
      <w:pPr>
        <w:pStyle w:val="EndNoteBibliography"/>
        <w:ind w:left="720" w:hanging="720"/>
        <w:rPr>
          <w:noProof/>
        </w:rPr>
      </w:pPr>
      <w:r w:rsidRPr="001F4249">
        <w:rPr>
          <w:noProof/>
        </w:rPr>
        <w:t>[8]</w:t>
      </w:r>
      <w:r w:rsidRPr="001F4249">
        <w:rPr>
          <w:noProof/>
        </w:rPr>
        <w:tab/>
        <w:t>ZHANG L, DING Y, LIN H. Optimizing synchronized truck-drone delivery with priority in disaster relief [J]. Journal of Industrial and Management Optimization, 2023, 19(7): 5143-5162.</w:t>
      </w:r>
    </w:p>
    <w:p w14:paraId="08B299C9" w14:textId="77777777" w:rsidR="001F4249" w:rsidRPr="001F4249" w:rsidRDefault="001F4249" w:rsidP="001F4249">
      <w:pPr>
        <w:pStyle w:val="EndNoteBibliography"/>
        <w:ind w:left="720" w:hanging="720"/>
        <w:rPr>
          <w:noProof/>
        </w:rPr>
      </w:pPr>
      <w:r w:rsidRPr="001F4249">
        <w:rPr>
          <w:noProof/>
        </w:rPr>
        <w:t>[9]</w:t>
      </w:r>
      <w:r w:rsidRPr="001F4249">
        <w:rPr>
          <w:noProof/>
        </w:rPr>
        <w:tab/>
        <w:t>HAMACHER H, TJANDRA S. Mathematical Modeling of Evacuation Problems: A State of The Art [J]. Pedestrian and Evacuation Dynamics, 2002, 2002.</w:t>
      </w:r>
    </w:p>
    <w:p w14:paraId="2F3C0B98" w14:textId="77777777" w:rsidR="001F4249" w:rsidRPr="001F4249" w:rsidRDefault="001F4249" w:rsidP="001F4249">
      <w:pPr>
        <w:pStyle w:val="EndNoteBibliography"/>
        <w:ind w:left="720" w:hanging="720"/>
        <w:rPr>
          <w:noProof/>
        </w:rPr>
      </w:pPr>
      <w:r w:rsidRPr="001F4249">
        <w:rPr>
          <w:noProof/>
        </w:rPr>
        <w:t>[10]</w:t>
      </w:r>
      <w:r w:rsidRPr="001F4249">
        <w:rPr>
          <w:noProof/>
        </w:rPr>
        <w:tab/>
        <w:t>ABDELGAWAD H, ABDULHAI B. Managing Large-Scale Multimodal Emergency Evacuations [J]. Journal of Transportation Safety &amp; Security, 2010, 2: 122-151.</w:t>
      </w:r>
    </w:p>
    <w:p w14:paraId="5C44BDFF" w14:textId="77777777" w:rsidR="001F4249" w:rsidRPr="001F4249" w:rsidRDefault="001F4249" w:rsidP="001F4249">
      <w:pPr>
        <w:pStyle w:val="EndNoteBibliography"/>
        <w:ind w:left="720" w:hanging="720"/>
        <w:rPr>
          <w:noProof/>
        </w:rPr>
      </w:pPr>
      <w:r w:rsidRPr="001F4249">
        <w:rPr>
          <w:noProof/>
        </w:rPr>
        <w:t>[11]</w:t>
      </w:r>
      <w:r w:rsidRPr="001F4249">
        <w:rPr>
          <w:noProof/>
        </w:rPr>
        <w:tab/>
        <w:t>YOON S, ALBERT L A. Dynamic dispatch policies for emergency response with multiple types of vehicles [J]. Transportation Research Part E: Logistics and Transportation Review, 2021, 152: 102405.</w:t>
      </w:r>
    </w:p>
    <w:p w14:paraId="6901765B" w14:textId="77777777" w:rsidR="001F4249" w:rsidRPr="001F4249" w:rsidRDefault="001F4249" w:rsidP="001F4249">
      <w:pPr>
        <w:pStyle w:val="EndNoteBibliography"/>
        <w:ind w:left="720" w:hanging="720"/>
        <w:rPr>
          <w:noProof/>
        </w:rPr>
      </w:pPr>
      <w:r w:rsidRPr="001F4249">
        <w:rPr>
          <w:noProof/>
        </w:rPr>
        <w:t>[12]</w:t>
      </w:r>
      <w:r w:rsidRPr="001F4249">
        <w:rPr>
          <w:noProof/>
        </w:rPr>
        <w:tab/>
        <w:t>雷斌, 寻天祥, 郝亚睿, et al. 城市</w:t>
      </w:r>
      <w:r w:rsidRPr="001F4249">
        <w:rPr>
          <w:rFonts w:hint="eastAsia"/>
          <w:noProof/>
        </w:rPr>
        <w:t>轨道交通突发事件下换乘站应急疏散路径优化研究</w:t>
      </w:r>
      <w:r w:rsidRPr="001F4249">
        <w:rPr>
          <w:noProof/>
        </w:rPr>
        <w:t xml:space="preserve"> [J]. 中国安全生产科学技术, 2023, 19(05): 186-193.</w:t>
      </w:r>
    </w:p>
    <w:p w14:paraId="73DB99B4" w14:textId="77777777" w:rsidR="001F4249" w:rsidRPr="001F4249" w:rsidRDefault="001F4249" w:rsidP="001F4249">
      <w:pPr>
        <w:pStyle w:val="EndNoteBibliography"/>
        <w:ind w:left="720" w:hanging="720"/>
        <w:rPr>
          <w:noProof/>
        </w:rPr>
      </w:pPr>
      <w:r w:rsidRPr="001F4249">
        <w:rPr>
          <w:noProof/>
        </w:rPr>
        <w:t>[13]</w:t>
      </w:r>
      <w:r w:rsidRPr="001F4249">
        <w:rPr>
          <w:noProof/>
        </w:rPr>
        <w:tab/>
        <w:t>杨扬, 陈君婷, 姚恩建, et al. 时变需求下综合客运枢纽集群对外交通网络韧性评估方法 [J]. 交通运输工程学报, 2026, 26(02): 155-169.</w:t>
      </w:r>
    </w:p>
    <w:p w14:paraId="23FF85FD" w14:textId="77777777" w:rsidR="001F4249" w:rsidRPr="001F4249" w:rsidRDefault="001F4249" w:rsidP="001F4249">
      <w:pPr>
        <w:pStyle w:val="EndNoteBibliography"/>
        <w:ind w:left="720" w:hanging="720"/>
        <w:rPr>
          <w:noProof/>
        </w:rPr>
      </w:pPr>
      <w:r w:rsidRPr="001F4249">
        <w:rPr>
          <w:noProof/>
        </w:rPr>
        <w:t>[14]</w:t>
      </w:r>
      <w:r w:rsidRPr="001F4249">
        <w:rPr>
          <w:noProof/>
        </w:rPr>
        <w:tab/>
        <w:t>张毅, 裴华鑫, 姚丹亚. 车路协同环境下车辆群体协同决策研究综述 [J]. 交通运输工程学报, 2022, 22(3): 1.</w:t>
      </w:r>
    </w:p>
    <w:p w14:paraId="0C827151" w14:textId="77777777" w:rsidR="001F4249" w:rsidRPr="001F4249" w:rsidRDefault="001F4249" w:rsidP="001F4249">
      <w:pPr>
        <w:pStyle w:val="EndNoteBibliography"/>
        <w:ind w:left="720" w:hanging="720"/>
        <w:rPr>
          <w:noProof/>
        </w:rPr>
      </w:pPr>
      <w:r w:rsidRPr="001F4249">
        <w:rPr>
          <w:noProof/>
        </w:rPr>
        <w:t>[15]</w:t>
      </w:r>
      <w:r w:rsidRPr="001F4249">
        <w:rPr>
          <w:noProof/>
        </w:rPr>
        <w:tab/>
        <w:t>PASQUILL F. Atmospheric Diffusion: The Dispersion of Windborne Material from Industrial and Other Sources [M]. E. Horwood, 1974.</w:t>
      </w:r>
    </w:p>
    <w:p w14:paraId="2F9F4BB8" w14:textId="77777777" w:rsidR="001F4249" w:rsidRPr="001F4249" w:rsidRDefault="001F4249" w:rsidP="001F4249">
      <w:pPr>
        <w:pStyle w:val="EndNoteBibliography"/>
        <w:ind w:left="720" w:hanging="720"/>
        <w:rPr>
          <w:noProof/>
        </w:rPr>
      </w:pPr>
      <w:r w:rsidRPr="001F4249">
        <w:rPr>
          <w:noProof/>
        </w:rPr>
        <w:t>[16]</w:t>
      </w:r>
      <w:r w:rsidRPr="001F4249">
        <w:rPr>
          <w:noProof/>
        </w:rPr>
        <w:tab/>
        <w:t>BRIGGS G A. Diffusion estimation for small emissions. Preliminary report [R]. United States: National Oceanic and Atmospheric Administration, Oak Ridge, Tenn. (USA). Atmospheric Turbulence and Diffusion Lab., 1973.</w:t>
      </w:r>
    </w:p>
    <w:p w14:paraId="6CA5665D" w14:textId="77777777" w:rsidR="001F4249" w:rsidRPr="001F4249" w:rsidRDefault="001F4249" w:rsidP="001F4249">
      <w:pPr>
        <w:pStyle w:val="EndNoteBibliography"/>
        <w:ind w:left="720" w:hanging="720"/>
        <w:rPr>
          <w:noProof/>
        </w:rPr>
      </w:pPr>
      <w:r w:rsidRPr="001F4249">
        <w:rPr>
          <w:noProof/>
        </w:rPr>
        <w:t>[17]</w:t>
      </w:r>
      <w:r w:rsidRPr="001F4249">
        <w:rPr>
          <w:noProof/>
        </w:rPr>
        <w:tab/>
        <w:t>CRAIG D K, DAVIS J S, HANSEN D J, et al. Derivation of temporary emergency exposure limits (TEELs) [J]. J Appl Toxicol, 2000, 20(1): 11-20.</w:t>
      </w:r>
    </w:p>
    <w:p w14:paraId="71EB2B46" w14:textId="0D28ADEF" w:rsidR="00EB0048" w:rsidRDefault="00E9397C" w:rsidP="003F4AC2">
      <w:pPr>
        <w:jc w:val="left"/>
        <w:rPr>
          <w:rFonts w:ascii="Times New Roman" w:hAnsi="Times New Roman" w:cs="Times New Roman"/>
          <w:i/>
          <w:iCs/>
          <w:sz w:val="20"/>
          <w:szCs w:val="20"/>
        </w:rPr>
      </w:pPr>
      <w:r>
        <w:rPr>
          <w:rFonts w:ascii="Times New Roman" w:hAnsi="Times New Roman" w:cs="Times New Roman"/>
          <w:i/>
          <w:iCs/>
          <w:sz w:val="20"/>
          <w:szCs w:val="20"/>
        </w:rPr>
        <w:fldChar w:fldCharType="end"/>
      </w:r>
    </w:p>
    <w:p w14:paraId="65E81836" w14:textId="77777777" w:rsidR="0063467A" w:rsidRDefault="0063467A" w:rsidP="00B976EA">
      <w:pPr>
        <w:jc w:val="left"/>
        <w:rPr>
          <w:rFonts w:ascii="Times New Roman" w:hAnsi="Times New Roman" w:cs="Times New Roman"/>
          <w:i/>
          <w:iCs/>
          <w:sz w:val="20"/>
          <w:szCs w:val="20"/>
        </w:rPr>
      </w:pPr>
    </w:p>
    <w:p w14:paraId="13F5AC28" w14:textId="77777777" w:rsidR="0063467A" w:rsidRDefault="0063467A" w:rsidP="003F643B">
      <w:pPr>
        <w:jc w:val="left"/>
        <w:rPr>
          <w:rFonts w:ascii="Times New Roman" w:hAnsi="Times New Roman" w:cs="Times New Roman"/>
          <w:i/>
          <w:iCs/>
          <w:sz w:val="20"/>
          <w:szCs w:val="20"/>
        </w:rPr>
      </w:pPr>
    </w:p>
    <w:p w14:paraId="52DA3A85" w14:textId="77777777" w:rsidR="0063467A" w:rsidRDefault="0063467A" w:rsidP="003F643B">
      <w:pPr>
        <w:jc w:val="left"/>
        <w:rPr>
          <w:rFonts w:ascii="Times New Roman" w:hAnsi="Times New Roman" w:cs="Times New Roman"/>
          <w:i/>
          <w:iCs/>
          <w:sz w:val="20"/>
          <w:szCs w:val="20"/>
        </w:rPr>
      </w:pPr>
    </w:p>
    <w:p w14:paraId="1903DECE" w14:textId="77777777" w:rsidR="0063467A" w:rsidRDefault="0063467A">
      <w:pPr>
        <w:jc w:val="center"/>
        <w:rPr>
          <w:rFonts w:ascii="Times New Roman" w:hAnsi="Times New Roman" w:cs="Times New Roman"/>
          <w:i/>
          <w:iCs/>
          <w:sz w:val="20"/>
          <w:szCs w:val="20"/>
        </w:rPr>
      </w:pPr>
    </w:p>
    <w:p w14:paraId="44873A2F" w14:textId="77777777" w:rsidR="0063467A" w:rsidRDefault="0063467A">
      <w:pPr>
        <w:jc w:val="center"/>
        <w:rPr>
          <w:rFonts w:ascii="Times New Roman" w:hAnsi="Times New Roman" w:cs="Times New Roman"/>
          <w:i/>
          <w:iCs/>
          <w:sz w:val="20"/>
          <w:szCs w:val="20"/>
        </w:rPr>
      </w:pPr>
    </w:p>
    <w:p w14:paraId="12D00381" w14:textId="77777777" w:rsidR="0063467A" w:rsidRDefault="0063467A" w:rsidP="0063467A">
      <w:pPr>
        <w:spacing w:before="200"/>
        <w:jc w:val="center"/>
        <w:rPr>
          <w:rFonts w:ascii="Times New Roman" w:hAnsi="Times New Roman" w:cs="Times New Roman"/>
        </w:rPr>
      </w:pPr>
      <w:r>
        <w:rPr>
          <w:rFonts w:ascii="Times New Roman" w:hAnsi="Times New Roman" w:cs="Times New Roman"/>
          <w:i/>
          <w:iCs/>
          <w:sz w:val="20"/>
          <w:szCs w:val="20"/>
        </w:rPr>
        <w:t>投稿目标：</w:t>
      </w:r>
      <w:r>
        <w:rPr>
          <w:rFonts w:ascii="Times New Roman" w:hAnsi="Times New Roman" w:cs="Times New Roman"/>
          <w:i/>
          <w:iCs/>
          <w:sz w:val="20"/>
          <w:szCs w:val="20"/>
        </w:rPr>
        <w:t>CSTFM 2026—2026</w:t>
      </w:r>
      <w:r>
        <w:rPr>
          <w:rFonts w:ascii="Times New Roman" w:hAnsi="Times New Roman" w:cs="Times New Roman"/>
          <w:i/>
          <w:iCs/>
          <w:sz w:val="20"/>
          <w:szCs w:val="20"/>
        </w:rPr>
        <w:t>年智能交通与未来出行国际会议，中国兰州，</w:t>
      </w:r>
      <w:r>
        <w:rPr>
          <w:rFonts w:ascii="Times New Roman" w:hAnsi="Times New Roman" w:cs="Times New Roman"/>
          <w:i/>
          <w:iCs/>
          <w:sz w:val="20"/>
          <w:szCs w:val="20"/>
        </w:rPr>
        <w:t>2026</w:t>
      </w:r>
      <w:r>
        <w:rPr>
          <w:rFonts w:ascii="Times New Roman" w:hAnsi="Times New Roman" w:cs="Times New Roman"/>
          <w:i/>
          <w:iCs/>
          <w:sz w:val="20"/>
          <w:szCs w:val="20"/>
        </w:rPr>
        <w:t>年</w:t>
      </w:r>
      <w:r>
        <w:rPr>
          <w:rFonts w:ascii="Times New Roman" w:hAnsi="Times New Roman" w:cs="Times New Roman"/>
          <w:i/>
          <w:iCs/>
          <w:sz w:val="20"/>
          <w:szCs w:val="20"/>
        </w:rPr>
        <w:t>7</w:t>
      </w:r>
      <w:r>
        <w:rPr>
          <w:rFonts w:ascii="Times New Roman" w:hAnsi="Times New Roman" w:cs="Times New Roman"/>
          <w:i/>
          <w:iCs/>
          <w:sz w:val="20"/>
          <w:szCs w:val="20"/>
        </w:rPr>
        <w:t>月</w:t>
      </w:r>
      <w:r>
        <w:rPr>
          <w:rFonts w:ascii="Times New Roman" w:hAnsi="Times New Roman" w:cs="Times New Roman"/>
          <w:i/>
          <w:iCs/>
          <w:sz w:val="20"/>
          <w:szCs w:val="20"/>
        </w:rPr>
        <w:t>10—12</w:t>
      </w:r>
      <w:r>
        <w:rPr>
          <w:rFonts w:ascii="Times New Roman" w:hAnsi="Times New Roman" w:cs="Times New Roman"/>
          <w:i/>
          <w:iCs/>
          <w:sz w:val="20"/>
          <w:szCs w:val="20"/>
        </w:rPr>
        <w:t>日</w:t>
      </w:r>
    </w:p>
    <w:p w14:paraId="51232AF4" w14:textId="77777777" w:rsidR="0063467A" w:rsidRDefault="0063467A" w:rsidP="0063467A">
      <w:pPr>
        <w:jc w:val="center"/>
        <w:rPr>
          <w:rFonts w:ascii="Times New Roman" w:hAnsi="Times New Roman" w:cs="Times New Roman"/>
          <w:i/>
          <w:iCs/>
          <w:sz w:val="20"/>
          <w:szCs w:val="20"/>
        </w:rPr>
      </w:pPr>
      <w:r>
        <w:rPr>
          <w:rFonts w:ascii="Times New Roman" w:hAnsi="Times New Roman" w:cs="Times New Roman"/>
          <w:i/>
          <w:iCs/>
          <w:sz w:val="20"/>
          <w:szCs w:val="20"/>
        </w:rPr>
        <w:lastRenderedPageBreak/>
        <w:t>方向：</w:t>
      </w:r>
      <w:r>
        <w:rPr>
          <w:rFonts w:ascii="Times New Roman" w:hAnsi="Times New Roman" w:cs="Times New Roman"/>
          <w:i/>
          <w:iCs/>
          <w:sz w:val="20"/>
          <w:szCs w:val="20"/>
        </w:rPr>
        <w:t>Track 1——</w:t>
      </w:r>
      <w:r>
        <w:rPr>
          <w:rFonts w:ascii="Times New Roman" w:hAnsi="Times New Roman" w:cs="Times New Roman"/>
          <w:i/>
          <w:iCs/>
          <w:sz w:val="20"/>
          <w:szCs w:val="20"/>
        </w:rPr>
        <w:t>智能交通</w:t>
      </w:r>
    </w:p>
    <w:p w14:paraId="4D33AA3B" w14:textId="77777777" w:rsidR="0063467A" w:rsidRDefault="0063467A" w:rsidP="0063467A">
      <w:pPr>
        <w:jc w:val="center"/>
        <w:rPr>
          <w:rFonts w:ascii="Times New Roman" w:hAnsi="Times New Roman" w:cs="Times New Roman"/>
          <w:i/>
          <w:iCs/>
          <w:sz w:val="20"/>
          <w:szCs w:val="20"/>
        </w:rPr>
      </w:pPr>
    </w:p>
    <w:p w14:paraId="5216803C" w14:textId="77777777" w:rsidR="0063467A" w:rsidRDefault="0063467A">
      <w:pPr>
        <w:jc w:val="center"/>
        <w:rPr>
          <w:rFonts w:ascii="Times New Roman" w:hAnsi="Times New Roman" w:cs="Times New Roman"/>
          <w:i/>
          <w:iCs/>
          <w:sz w:val="20"/>
          <w:szCs w:val="20"/>
        </w:rPr>
      </w:pPr>
    </w:p>
    <w:sectPr w:rsidR="006346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6"/>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我的-Chinese Std GBT7714&lt;/Style&gt;&lt;LeftDelim&gt;{&lt;/LeftDelim&gt;&lt;RightDelim&gt;}&lt;/RightDelim&gt;&lt;FontName&gt;宋体&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record-ids&gt;&lt;/item&gt;&lt;/Libraries&gt;"/>
  </w:docVars>
  <w:rsids>
    <w:rsidRoot w:val="004E0EA2"/>
    <w:rsid w:val="FA728DD2"/>
    <w:rsid w:val="0001615B"/>
    <w:rsid w:val="00023593"/>
    <w:rsid w:val="000367FB"/>
    <w:rsid w:val="000465F0"/>
    <w:rsid w:val="00061B7F"/>
    <w:rsid w:val="00066524"/>
    <w:rsid w:val="00090F3E"/>
    <w:rsid w:val="000964EA"/>
    <w:rsid w:val="000B6A6A"/>
    <w:rsid w:val="000C6B25"/>
    <w:rsid w:val="000D7B23"/>
    <w:rsid w:val="000E3799"/>
    <w:rsid w:val="000F07DB"/>
    <w:rsid w:val="00100D30"/>
    <w:rsid w:val="0010174E"/>
    <w:rsid w:val="00105DBD"/>
    <w:rsid w:val="0011468F"/>
    <w:rsid w:val="00114BBE"/>
    <w:rsid w:val="00117524"/>
    <w:rsid w:val="00121567"/>
    <w:rsid w:val="001254FE"/>
    <w:rsid w:val="001307A8"/>
    <w:rsid w:val="00132753"/>
    <w:rsid w:val="00143174"/>
    <w:rsid w:val="00163416"/>
    <w:rsid w:val="00187076"/>
    <w:rsid w:val="001A2048"/>
    <w:rsid w:val="001C51A4"/>
    <w:rsid w:val="001F4249"/>
    <w:rsid w:val="001F544D"/>
    <w:rsid w:val="00202501"/>
    <w:rsid w:val="00215C62"/>
    <w:rsid w:val="00230455"/>
    <w:rsid w:val="0026590C"/>
    <w:rsid w:val="00266EE9"/>
    <w:rsid w:val="00285A19"/>
    <w:rsid w:val="00286B09"/>
    <w:rsid w:val="00291206"/>
    <w:rsid w:val="00291FB4"/>
    <w:rsid w:val="002B39F9"/>
    <w:rsid w:val="002D1668"/>
    <w:rsid w:val="002D5247"/>
    <w:rsid w:val="002D7882"/>
    <w:rsid w:val="00311764"/>
    <w:rsid w:val="00320B83"/>
    <w:rsid w:val="003418E3"/>
    <w:rsid w:val="00354E45"/>
    <w:rsid w:val="00373624"/>
    <w:rsid w:val="003A78FA"/>
    <w:rsid w:val="003B5E4B"/>
    <w:rsid w:val="003D5356"/>
    <w:rsid w:val="003F1BA2"/>
    <w:rsid w:val="003F1DE5"/>
    <w:rsid w:val="003F21AD"/>
    <w:rsid w:val="003F4AC2"/>
    <w:rsid w:val="003F643B"/>
    <w:rsid w:val="004175E5"/>
    <w:rsid w:val="00426D71"/>
    <w:rsid w:val="00431AF4"/>
    <w:rsid w:val="00433851"/>
    <w:rsid w:val="00444F90"/>
    <w:rsid w:val="00447D84"/>
    <w:rsid w:val="00454AEB"/>
    <w:rsid w:val="00454BAC"/>
    <w:rsid w:val="00455831"/>
    <w:rsid w:val="00456039"/>
    <w:rsid w:val="00475FE1"/>
    <w:rsid w:val="004820E0"/>
    <w:rsid w:val="00483B83"/>
    <w:rsid w:val="00486006"/>
    <w:rsid w:val="004A33D3"/>
    <w:rsid w:val="004B7DBA"/>
    <w:rsid w:val="004C153D"/>
    <w:rsid w:val="004C5F27"/>
    <w:rsid w:val="004C745B"/>
    <w:rsid w:val="004D3ED8"/>
    <w:rsid w:val="004E0AD0"/>
    <w:rsid w:val="004E0EA2"/>
    <w:rsid w:val="004E57E6"/>
    <w:rsid w:val="004F2E39"/>
    <w:rsid w:val="00501A34"/>
    <w:rsid w:val="00553A96"/>
    <w:rsid w:val="00561E05"/>
    <w:rsid w:val="00565EE8"/>
    <w:rsid w:val="005A4086"/>
    <w:rsid w:val="005A70AD"/>
    <w:rsid w:val="005B0272"/>
    <w:rsid w:val="005D27ED"/>
    <w:rsid w:val="005D4318"/>
    <w:rsid w:val="005E37C1"/>
    <w:rsid w:val="005F311F"/>
    <w:rsid w:val="005F5481"/>
    <w:rsid w:val="00613BFA"/>
    <w:rsid w:val="00622C57"/>
    <w:rsid w:val="00626A35"/>
    <w:rsid w:val="006304C8"/>
    <w:rsid w:val="0063097F"/>
    <w:rsid w:val="0063467A"/>
    <w:rsid w:val="006567F3"/>
    <w:rsid w:val="0067244C"/>
    <w:rsid w:val="006775B7"/>
    <w:rsid w:val="006A5BF4"/>
    <w:rsid w:val="006C0B93"/>
    <w:rsid w:val="006D0BF4"/>
    <w:rsid w:val="006F06D9"/>
    <w:rsid w:val="00700088"/>
    <w:rsid w:val="00716FD0"/>
    <w:rsid w:val="0072780B"/>
    <w:rsid w:val="007338FF"/>
    <w:rsid w:val="00734BBE"/>
    <w:rsid w:val="00736405"/>
    <w:rsid w:val="0074007C"/>
    <w:rsid w:val="00765B36"/>
    <w:rsid w:val="00775CE9"/>
    <w:rsid w:val="00791DBF"/>
    <w:rsid w:val="007A10BF"/>
    <w:rsid w:val="007C2286"/>
    <w:rsid w:val="007E494A"/>
    <w:rsid w:val="007F0CCF"/>
    <w:rsid w:val="007F1D1A"/>
    <w:rsid w:val="007F59A8"/>
    <w:rsid w:val="00876A86"/>
    <w:rsid w:val="008837BD"/>
    <w:rsid w:val="008874E7"/>
    <w:rsid w:val="008D0217"/>
    <w:rsid w:val="008E6065"/>
    <w:rsid w:val="008F00B5"/>
    <w:rsid w:val="008F29F4"/>
    <w:rsid w:val="008F7D92"/>
    <w:rsid w:val="0092669C"/>
    <w:rsid w:val="00946A4C"/>
    <w:rsid w:val="00952356"/>
    <w:rsid w:val="00953B73"/>
    <w:rsid w:val="009733F4"/>
    <w:rsid w:val="00976C66"/>
    <w:rsid w:val="009976AE"/>
    <w:rsid w:val="009B7346"/>
    <w:rsid w:val="009B7379"/>
    <w:rsid w:val="009C53DF"/>
    <w:rsid w:val="009F0498"/>
    <w:rsid w:val="00A028DB"/>
    <w:rsid w:val="00A04F6C"/>
    <w:rsid w:val="00A23EDD"/>
    <w:rsid w:val="00A323D0"/>
    <w:rsid w:val="00A34D17"/>
    <w:rsid w:val="00A53E98"/>
    <w:rsid w:val="00AB729A"/>
    <w:rsid w:val="00AD1374"/>
    <w:rsid w:val="00AE3D17"/>
    <w:rsid w:val="00AE5B9D"/>
    <w:rsid w:val="00B03235"/>
    <w:rsid w:val="00B04ED1"/>
    <w:rsid w:val="00B37547"/>
    <w:rsid w:val="00B433F6"/>
    <w:rsid w:val="00B51CE4"/>
    <w:rsid w:val="00B719FA"/>
    <w:rsid w:val="00B87214"/>
    <w:rsid w:val="00B90513"/>
    <w:rsid w:val="00B94087"/>
    <w:rsid w:val="00B976EA"/>
    <w:rsid w:val="00BA6386"/>
    <w:rsid w:val="00BA69B8"/>
    <w:rsid w:val="00BC0FA4"/>
    <w:rsid w:val="00BC1F3D"/>
    <w:rsid w:val="00BE707F"/>
    <w:rsid w:val="00BF0A3F"/>
    <w:rsid w:val="00BF5979"/>
    <w:rsid w:val="00C005D4"/>
    <w:rsid w:val="00C02AFA"/>
    <w:rsid w:val="00C14E8D"/>
    <w:rsid w:val="00C20565"/>
    <w:rsid w:val="00C3062D"/>
    <w:rsid w:val="00C3596D"/>
    <w:rsid w:val="00C36B03"/>
    <w:rsid w:val="00C37B36"/>
    <w:rsid w:val="00C44692"/>
    <w:rsid w:val="00C4492B"/>
    <w:rsid w:val="00C56DF3"/>
    <w:rsid w:val="00C60A41"/>
    <w:rsid w:val="00C756B1"/>
    <w:rsid w:val="00C773A1"/>
    <w:rsid w:val="00C85FA6"/>
    <w:rsid w:val="00CA316F"/>
    <w:rsid w:val="00CA6381"/>
    <w:rsid w:val="00CC501C"/>
    <w:rsid w:val="00CC7939"/>
    <w:rsid w:val="00CD5E8C"/>
    <w:rsid w:val="00CE3F53"/>
    <w:rsid w:val="00CE6FE5"/>
    <w:rsid w:val="00CF36AE"/>
    <w:rsid w:val="00D0021E"/>
    <w:rsid w:val="00D1069B"/>
    <w:rsid w:val="00D179C1"/>
    <w:rsid w:val="00D22ED7"/>
    <w:rsid w:val="00D245F2"/>
    <w:rsid w:val="00D438AC"/>
    <w:rsid w:val="00D60CE8"/>
    <w:rsid w:val="00D71170"/>
    <w:rsid w:val="00DC3EE2"/>
    <w:rsid w:val="00DE039E"/>
    <w:rsid w:val="00DF3152"/>
    <w:rsid w:val="00DF582E"/>
    <w:rsid w:val="00DF723A"/>
    <w:rsid w:val="00DF7303"/>
    <w:rsid w:val="00E1183C"/>
    <w:rsid w:val="00E14468"/>
    <w:rsid w:val="00E20A7C"/>
    <w:rsid w:val="00E2795F"/>
    <w:rsid w:val="00E40709"/>
    <w:rsid w:val="00E857B4"/>
    <w:rsid w:val="00E9397C"/>
    <w:rsid w:val="00E93C4C"/>
    <w:rsid w:val="00E96F2F"/>
    <w:rsid w:val="00EA74A7"/>
    <w:rsid w:val="00EB0048"/>
    <w:rsid w:val="00EB28AC"/>
    <w:rsid w:val="00ED5A4B"/>
    <w:rsid w:val="00EE03B4"/>
    <w:rsid w:val="00EF0C39"/>
    <w:rsid w:val="00F10BC7"/>
    <w:rsid w:val="00F6048F"/>
    <w:rsid w:val="00F8087C"/>
    <w:rsid w:val="00FB360D"/>
    <w:rsid w:val="00FC4BF5"/>
    <w:rsid w:val="00FE7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825A"/>
  <w14:defaultImageDpi w14:val="32767"/>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088"/>
    <w:pPr>
      <w:widowControl w:val="0"/>
      <w:jc w:val="both"/>
    </w:pPr>
    <w:rPr>
      <w:sz w:val="21"/>
      <w:szCs w:val="21"/>
    </w:r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link w:val="20"/>
    <w:uiPriority w:val="9"/>
    <w:unhideWhenUsed/>
    <w:qFormat/>
    <w:pPr>
      <w:spacing w:before="200" w:after="100"/>
      <w:outlineLvl w:val="1"/>
    </w:pPr>
    <w:rPr>
      <w:rFonts w:ascii="黑体" w:eastAsia="黑体" w:hAnsi="黑体" w:cs="黑体"/>
      <w:b/>
      <w:bCs/>
      <w:sz w:val="24"/>
      <w:szCs w:val="24"/>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1">
    <w:name w:val="要点1"/>
    <w:qFormat/>
    <w:rPr>
      <w:b/>
      <w:bCs/>
      <w:sz w:val="21"/>
      <w:szCs w:val="21"/>
    </w:rPr>
  </w:style>
  <w:style w:type="paragraph" w:styleId="a8">
    <w:name w:val="List Paragraph"/>
    <w:qFormat/>
    <w:rPr>
      <w:sz w:val="21"/>
      <w:szCs w:val="21"/>
    </w:rPr>
  </w:style>
  <w:style w:type="character" w:customStyle="1" w:styleId="a4">
    <w:name w:val="脚注文本 字符"/>
    <w:link w:val="a3"/>
    <w:uiPriority w:val="99"/>
    <w:semiHidden/>
    <w:unhideWhenUsed/>
    <w:rPr>
      <w:sz w:val="20"/>
      <w:szCs w:val="20"/>
    </w:rPr>
  </w:style>
  <w:style w:type="paragraph" w:customStyle="1" w:styleId="papertitle">
    <w:name w:val="paper title"/>
    <w:pPr>
      <w:spacing w:after="120"/>
      <w:jc w:val="center"/>
    </w:pPr>
    <w:rPr>
      <w:rFonts w:ascii="Times New Roman" w:eastAsia="MS Mincho" w:hAnsi="Times New Roman" w:cs="Times New Roman"/>
      <w:sz w:val="48"/>
      <w:szCs w:val="48"/>
      <w:lang w:eastAsia="en-US"/>
    </w:rPr>
  </w:style>
  <w:style w:type="paragraph" w:customStyle="1" w:styleId="Author">
    <w:name w:val="Author"/>
    <w:pPr>
      <w:spacing w:before="360" w:after="40"/>
      <w:jc w:val="center"/>
    </w:pPr>
    <w:rPr>
      <w:rFonts w:ascii="Times New Roman" w:hAnsi="Times New Roman" w:cs="Times New Roman"/>
      <w:sz w:val="22"/>
      <w:szCs w:val="22"/>
      <w:lang w:eastAsia="en-US"/>
    </w:rPr>
  </w:style>
  <w:style w:type="paragraph" w:customStyle="1" w:styleId="Affiliation">
    <w:name w:val="Affiliation"/>
    <w:pPr>
      <w:jc w:val="center"/>
    </w:pPr>
    <w:rPr>
      <w:rFonts w:ascii="Times New Roman" w:hAnsi="Times New Roman" w:cs="Times New Roman"/>
      <w:lang w:eastAsia="en-US"/>
    </w:rPr>
  </w:style>
  <w:style w:type="character" w:customStyle="1" w:styleId="10">
    <w:name w:val="标题 1 字符"/>
    <w:basedOn w:val="a0"/>
    <w:link w:val="1"/>
    <w:uiPriority w:val="9"/>
    <w:rPr>
      <w:rFonts w:ascii="黑体" w:eastAsia="黑体" w:hAnsi="黑体" w:cs="黑体"/>
      <w:b/>
      <w:bCs/>
      <w:sz w:val="28"/>
      <w:szCs w:val="28"/>
    </w:rPr>
  </w:style>
  <w:style w:type="character" w:customStyle="1" w:styleId="20">
    <w:name w:val="标题 2 字符"/>
    <w:basedOn w:val="a0"/>
    <w:link w:val="2"/>
    <w:uiPriority w:val="9"/>
    <w:rsid w:val="00DF7303"/>
    <w:rPr>
      <w:rFonts w:ascii="黑体" w:eastAsia="黑体" w:hAnsi="黑体" w:cs="黑体"/>
      <w:b/>
      <w:bCs/>
      <w:sz w:val="24"/>
      <w:szCs w:val="24"/>
    </w:rPr>
  </w:style>
  <w:style w:type="character" w:customStyle="1" w:styleId="30">
    <w:name w:val="标题 3 字符"/>
    <w:basedOn w:val="a0"/>
    <w:link w:val="3"/>
    <w:uiPriority w:val="9"/>
    <w:rsid w:val="00DF7303"/>
    <w:rPr>
      <w:color w:val="1F4D78"/>
      <w:sz w:val="24"/>
      <w:szCs w:val="24"/>
    </w:rPr>
  </w:style>
  <w:style w:type="paragraph" w:customStyle="1" w:styleId="font-claude-response-body">
    <w:name w:val="font-claude-response-body"/>
    <w:basedOn w:val="a"/>
    <w:rsid w:val="009B7379"/>
    <w:pPr>
      <w:widowControl/>
      <w:spacing w:before="100" w:beforeAutospacing="1" w:after="100" w:afterAutospacing="1"/>
    </w:pPr>
    <w:rPr>
      <w:sz w:val="24"/>
      <w:szCs w:val="24"/>
    </w:rPr>
  </w:style>
  <w:style w:type="paragraph" w:customStyle="1" w:styleId="EndNoteBibliographyTitle">
    <w:name w:val="EndNote Bibliography Title"/>
    <w:basedOn w:val="a"/>
    <w:link w:val="EndNoteBibliographyTitle0"/>
    <w:rsid w:val="00E9397C"/>
    <w:pPr>
      <w:jc w:val="center"/>
    </w:pPr>
    <w:rPr>
      <w:sz w:val="20"/>
    </w:rPr>
  </w:style>
  <w:style w:type="character" w:customStyle="1" w:styleId="EndNoteBibliographyTitle0">
    <w:name w:val="EndNote Bibliography Title 字符"/>
    <w:basedOn w:val="a0"/>
    <w:link w:val="EndNoteBibliographyTitle"/>
    <w:rsid w:val="00E9397C"/>
    <w:rPr>
      <w:szCs w:val="21"/>
    </w:rPr>
  </w:style>
  <w:style w:type="paragraph" w:customStyle="1" w:styleId="EndNoteBibliography">
    <w:name w:val="EndNote Bibliography"/>
    <w:basedOn w:val="a"/>
    <w:link w:val="EndNoteBibliography0"/>
    <w:rsid w:val="00E9397C"/>
    <w:pPr>
      <w:jc w:val="center"/>
    </w:pPr>
    <w:rPr>
      <w:sz w:val="20"/>
    </w:rPr>
  </w:style>
  <w:style w:type="character" w:customStyle="1" w:styleId="EndNoteBibliography0">
    <w:name w:val="EndNote Bibliography 字符"/>
    <w:basedOn w:val="a0"/>
    <w:link w:val="EndNoteBibliography"/>
    <w:rsid w:val="00E9397C"/>
    <w:rPr>
      <w:szCs w:val="21"/>
    </w:rPr>
  </w:style>
  <w:style w:type="character" w:styleId="a9">
    <w:name w:val="Unresolved Mention"/>
    <w:basedOn w:val="a0"/>
    <w:uiPriority w:val="99"/>
    <w:semiHidden/>
    <w:unhideWhenUsed/>
    <w:rsid w:val="00E9397C"/>
    <w:rPr>
      <w:color w:val="605E5C"/>
      <w:shd w:val="clear" w:color="auto" w:fill="E1DFDD"/>
    </w:rPr>
  </w:style>
  <w:style w:type="character" w:styleId="aa">
    <w:name w:val="FollowedHyperlink"/>
    <w:basedOn w:val="a0"/>
    <w:uiPriority w:val="99"/>
    <w:semiHidden/>
    <w:unhideWhenUsed/>
    <w:rsid w:val="0063467A"/>
    <w:rPr>
      <w:color w:val="96607D" w:themeColor="followedHyperlink"/>
      <w:u w:val="single"/>
    </w:rPr>
  </w:style>
  <w:style w:type="table" w:styleId="12">
    <w:name w:val="Plain Table 1"/>
    <w:basedOn w:val="a1"/>
    <w:uiPriority w:val="41"/>
    <w:rsid w:val="0018707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3">
    <w:name w:val="Grid Table 1 Light"/>
    <w:basedOn w:val="a1"/>
    <w:uiPriority w:val="46"/>
    <w:rsid w:val="0018707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0">
    <w:name w:val="Plain Table 5"/>
    <w:basedOn w:val="a1"/>
    <w:uiPriority w:val="45"/>
    <w:rsid w:val="0018707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b">
    <w:name w:val="Grid Table Light"/>
    <w:basedOn w:val="a1"/>
    <w:uiPriority w:val="40"/>
    <w:rsid w:val="0018707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35003">
      <w:bodyDiv w:val="1"/>
      <w:marLeft w:val="0"/>
      <w:marRight w:val="0"/>
      <w:marTop w:val="0"/>
      <w:marBottom w:val="0"/>
      <w:divBdr>
        <w:top w:val="none" w:sz="0" w:space="0" w:color="auto"/>
        <w:left w:val="none" w:sz="0" w:space="0" w:color="auto"/>
        <w:bottom w:val="none" w:sz="0" w:space="0" w:color="auto"/>
        <w:right w:val="none" w:sz="0" w:space="0" w:color="auto"/>
      </w:divBdr>
    </w:div>
    <w:div w:id="247006983">
      <w:bodyDiv w:val="1"/>
      <w:marLeft w:val="0"/>
      <w:marRight w:val="0"/>
      <w:marTop w:val="0"/>
      <w:marBottom w:val="0"/>
      <w:divBdr>
        <w:top w:val="none" w:sz="0" w:space="0" w:color="auto"/>
        <w:left w:val="none" w:sz="0" w:space="0" w:color="auto"/>
        <w:bottom w:val="none" w:sz="0" w:space="0" w:color="auto"/>
        <w:right w:val="none" w:sz="0" w:space="0" w:color="auto"/>
      </w:divBdr>
    </w:div>
    <w:div w:id="382173106">
      <w:bodyDiv w:val="1"/>
      <w:marLeft w:val="0"/>
      <w:marRight w:val="0"/>
      <w:marTop w:val="0"/>
      <w:marBottom w:val="0"/>
      <w:divBdr>
        <w:top w:val="none" w:sz="0" w:space="0" w:color="auto"/>
        <w:left w:val="none" w:sz="0" w:space="0" w:color="auto"/>
        <w:bottom w:val="none" w:sz="0" w:space="0" w:color="auto"/>
        <w:right w:val="none" w:sz="0" w:space="0" w:color="auto"/>
      </w:divBdr>
    </w:div>
    <w:div w:id="419135327">
      <w:bodyDiv w:val="1"/>
      <w:marLeft w:val="0"/>
      <w:marRight w:val="0"/>
      <w:marTop w:val="0"/>
      <w:marBottom w:val="0"/>
      <w:divBdr>
        <w:top w:val="none" w:sz="0" w:space="0" w:color="auto"/>
        <w:left w:val="none" w:sz="0" w:space="0" w:color="auto"/>
        <w:bottom w:val="none" w:sz="0" w:space="0" w:color="auto"/>
        <w:right w:val="none" w:sz="0" w:space="0" w:color="auto"/>
      </w:divBdr>
    </w:div>
    <w:div w:id="474301698">
      <w:bodyDiv w:val="1"/>
      <w:marLeft w:val="0"/>
      <w:marRight w:val="0"/>
      <w:marTop w:val="0"/>
      <w:marBottom w:val="0"/>
      <w:divBdr>
        <w:top w:val="none" w:sz="0" w:space="0" w:color="auto"/>
        <w:left w:val="none" w:sz="0" w:space="0" w:color="auto"/>
        <w:bottom w:val="none" w:sz="0" w:space="0" w:color="auto"/>
        <w:right w:val="none" w:sz="0" w:space="0" w:color="auto"/>
      </w:divBdr>
    </w:div>
    <w:div w:id="503665339">
      <w:bodyDiv w:val="1"/>
      <w:marLeft w:val="0"/>
      <w:marRight w:val="0"/>
      <w:marTop w:val="0"/>
      <w:marBottom w:val="0"/>
      <w:divBdr>
        <w:top w:val="none" w:sz="0" w:space="0" w:color="auto"/>
        <w:left w:val="none" w:sz="0" w:space="0" w:color="auto"/>
        <w:bottom w:val="none" w:sz="0" w:space="0" w:color="auto"/>
        <w:right w:val="none" w:sz="0" w:space="0" w:color="auto"/>
      </w:divBdr>
      <w:divsChild>
        <w:div w:id="13422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168999">
      <w:bodyDiv w:val="1"/>
      <w:marLeft w:val="0"/>
      <w:marRight w:val="0"/>
      <w:marTop w:val="0"/>
      <w:marBottom w:val="0"/>
      <w:divBdr>
        <w:top w:val="none" w:sz="0" w:space="0" w:color="auto"/>
        <w:left w:val="none" w:sz="0" w:space="0" w:color="auto"/>
        <w:bottom w:val="none" w:sz="0" w:space="0" w:color="auto"/>
        <w:right w:val="none" w:sz="0" w:space="0" w:color="auto"/>
      </w:divBdr>
    </w:div>
    <w:div w:id="672873838">
      <w:bodyDiv w:val="1"/>
      <w:marLeft w:val="0"/>
      <w:marRight w:val="0"/>
      <w:marTop w:val="0"/>
      <w:marBottom w:val="0"/>
      <w:divBdr>
        <w:top w:val="none" w:sz="0" w:space="0" w:color="auto"/>
        <w:left w:val="none" w:sz="0" w:space="0" w:color="auto"/>
        <w:bottom w:val="none" w:sz="0" w:space="0" w:color="auto"/>
        <w:right w:val="none" w:sz="0" w:space="0" w:color="auto"/>
      </w:divBdr>
    </w:div>
    <w:div w:id="722679670">
      <w:bodyDiv w:val="1"/>
      <w:marLeft w:val="0"/>
      <w:marRight w:val="0"/>
      <w:marTop w:val="0"/>
      <w:marBottom w:val="0"/>
      <w:divBdr>
        <w:top w:val="none" w:sz="0" w:space="0" w:color="auto"/>
        <w:left w:val="none" w:sz="0" w:space="0" w:color="auto"/>
        <w:bottom w:val="none" w:sz="0" w:space="0" w:color="auto"/>
        <w:right w:val="none" w:sz="0" w:space="0" w:color="auto"/>
      </w:divBdr>
    </w:div>
    <w:div w:id="758334339">
      <w:bodyDiv w:val="1"/>
      <w:marLeft w:val="0"/>
      <w:marRight w:val="0"/>
      <w:marTop w:val="0"/>
      <w:marBottom w:val="0"/>
      <w:divBdr>
        <w:top w:val="none" w:sz="0" w:space="0" w:color="auto"/>
        <w:left w:val="none" w:sz="0" w:space="0" w:color="auto"/>
        <w:bottom w:val="none" w:sz="0" w:space="0" w:color="auto"/>
        <w:right w:val="none" w:sz="0" w:space="0" w:color="auto"/>
      </w:divBdr>
    </w:div>
    <w:div w:id="808329639">
      <w:bodyDiv w:val="1"/>
      <w:marLeft w:val="0"/>
      <w:marRight w:val="0"/>
      <w:marTop w:val="0"/>
      <w:marBottom w:val="0"/>
      <w:divBdr>
        <w:top w:val="none" w:sz="0" w:space="0" w:color="auto"/>
        <w:left w:val="none" w:sz="0" w:space="0" w:color="auto"/>
        <w:bottom w:val="none" w:sz="0" w:space="0" w:color="auto"/>
        <w:right w:val="none" w:sz="0" w:space="0" w:color="auto"/>
      </w:divBdr>
    </w:div>
    <w:div w:id="823426525">
      <w:bodyDiv w:val="1"/>
      <w:marLeft w:val="0"/>
      <w:marRight w:val="0"/>
      <w:marTop w:val="0"/>
      <w:marBottom w:val="0"/>
      <w:divBdr>
        <w:top w:val="none" w:sz="0" w:space="0" w:color="auto"/>
        <w:left w:val="none" w:sz="0" w:space="0" w:color="auto"/>
        <w:bottom w:val="none" w:sz="0" w:space="0" w:color="auto"/>
        <w:right w:val="none" w:sz="0" w:space="0" w:color="auto"/>
      </w:divBdr>
    </w:div>
    <w:div w:id="851727319">
      <w:bodyDiv w:val="1"/>
      <w:marLeft w:val="0"/>
      <w:marRight w:val="0"/>
      <w:marTop w:val="0"/>
      <w:marBottom w:val="0"/>
      <w:divBdr>
        <w:top w:val="none" w:sz="0" w:space="0" w:color="auto"/>
        <w:left w:val="none" w:sz="0" w:space="0" w:color="auto"/>
        <w:bottom w:val="none" w:sz="0" w:space="0" w:color="auto"/>
        <w:right w:val="none" w:sz="0" w:space="0" w:color="auto"/>
      </w:divBdr>
    </w:div>
    <w:div w:id="901017495">
      <w:bodyDiv w:val="1"/>
      <w:marLeft w:val="0"/>
      <w:marRight w:val="0"/>
      <w:marTop w:val="0"/>
      <w:marBottom w:val="0"/>
      <w:divBdr>
        <w:top w:val="none" w:sz="0" w:space="0" w:color="auto"/>
        <w:left w:val="none" w:sz="0" w:space="0" w:color="auto"/>
        <w:bottom w:val="none" w:sz="0" w:space="0" w:color="auto"/>
        <w:right w:val="none" w:sz="0" w:space="0" w:color="auto"/>
      </w:divBdr>
    </w:div>
    <w:div w:id="928661822">
      <w:bodyDiv w:val="1"/>
      <w:marLeft w:val="0"/>
      <w:marRight w:val="0"/>
      <w:marTop w:val="0"/>
      <w:marBottom w:val="0"/>
      <w:divBdr>
        <w:top w:val="none" w:sz="0" w:space="0" w:color="auto"/>
        <w:left w:val="none" w:sz="0" w:space="0" w:color="auto"/>
        <w:bottom w:val="none" w:sz="0" w:space="0" w:color="auto"/>
        <w:right w:val="none" w:sz="0" w:space="0" w:color="auto"/>
      </w:divBdr>
    </w:div>
    <w:div w:id="989822473">
      <w:bodyDiv w:val="1"/>
      <w:marLeft w:val="0"/>
      <w:marRight w:val="0"/>
      <w:marTop w:val="0"/>
      <w:marBottom w:val="0"/>
      <w:divBdr>
        <w:top w:val="none" w:sz="0" w:space="0" w:color="auto"/>
        <w:left w:val="none" w:sz="0" w:space="0" w:color="auto"/>
        <w:bottom w:val="none" w:sz="0" w:space="0" w:color="auto"/>
        <w:right w:val="none" w:sz="0" w:space="0" w:color="auto"/>
      </w:divBdr>
    </w:div>
    <w:div w:id="1040008105">
      <w:bodyDiv w:val="1"/>
      <w:marLeft w:val="0"/>
      <w:marRight w:val="0"/>
      <w:marTop w:val="0"/>
      <w:marBottom w:val="0"/>
      <w:divBdr>
        <w:top w:val="none" w:sz="0" w:space="0" w:color="auto"/>
        <w:left w:val="none" w:sz="0" w:space="0" w:color="auto"/>
        <w:bottom w:val="none" w:sz="0" w:space="0" w:color="auto"/>
        <w:right w:val="none" w:sz="0" w:space="0" w:color="auto"/>
      </w:divBdr>
    </w:div>
    <w:div w:id="1040326187">
      <w:bodyDiv w:val="1"/>
      <w:marLeft w:val="0"/>
      <w:marRight w:val="0"/>
      <w:marTop w:val="0"/>
      <w:marBottom w:val="0"/>
      <w:divBdr>
        <w:top w:val="none" w:sz="0" w:space="0" w:color="auto"/>
        <w:left w:val="none" w:sz="0" w:space="0" w:color="auto"/>
        <w:bottom w:val="none" w:sz="0" w:space="0" w:color="auto"/>
        <w:right w:val="none" w:sz="0" w:space="0" w:color="auto"/>
      </w:divBdr>
    </w:div>
    <w:div w:id="1081484809">
      <w:bodyDiv w:val="1"/>
      <w:marLeft w:val="0"/>
      <w:marRight w:val="0"/>
      <w:marTop w:val="0"/>
      <w:marBottom w:val="0"/>
      <w:divBdr>
        <w:top w:val="none" w:sz="0" w:space="0" w:color="auto"/>
        <w:left w:val="none" w:sz="0" w:space="0" w:color="auto"/>
        <w:bottom w:val="none" w:sz="0" w:space="0" w:color="auto"/>
        <w:right w:val="none" w:sz="0" w:space="0" w:color="auto"/>
      </w:divBdr>
    </w:div>
    <w:div w:id="1100757427">
      <w:bodyDiv w:val="1"/>
      <w:marLeft w:val="0"/>
      <w:marRight w:val="0"/>
      <w:marTop w:val="0"/>
      <w:marBottom w:val="0"/>
      <w:divBdr>
        <w:top w:val="none" w:sz="0" w:space="0" w:color="auto"/>
        <w:left w:val="none" w:sz="0" w:space="0" w:color="auto"/>
        <w:bottom w:val="none" w:sz="0" w:space="0" w:color="auto"/>
        <w:right w:val="none" w:sz="0" w:space="0" w:color="auto"/>
      </w:divBdr>
    </w:div>
    <w:div w:id="1176534756">
      <w:bodyDiv w:val="1"/>
      <w:marLeft w:val="0"/>
      <w:marRight w:val="0"/>
      <w:marTop w:val="0"/>
      <w:marBottom w:val="0"/>
      <w:divBdr>
        <w:top w:val="none" w:sz="0" w:space="0" w:color="auto"/>
        <w:left w:val="none" w:sz="0" w:space="0" w:color="auto"/>
        <w:bottom w:val="none" w:sz="0" w:space="0" w:color="auto"/>
        <w:right w:val="none" w:sz="0" w:space="0" w:color="auto"/>
      </w:divBdr>
    </w:div>
    <w:div w:id="1191917949">
      <w:bodyDiv w:val="1"/>
      <w:marLeft w:val="0"/>
      <w:marRight w:val="0"/>
      <w:marTop w:val="0"/>
      <w:marBottom w:val="0"/>
      <w:divBdr>
        <w:top w:val="none" w:sz="0" w:space="0" w:color="auto"/>
        <w:left w:val="none" w:sz="0" w:space="0" w:color="auto"/>
        <w:bottom w:val="none" w:sz="0" w:space="0" w:color="auto"/>
        <w:right w:val="none" w:sz="0" w:space="0" w:color="auto"/>
      </w:divBdr>
    </w:div>
    <w:div w:id="1236739613">
      <w:bodyDiv w:val="1"/>
      <w:marLeft w:val="0"/>
      <w:marRight w:val="0"/>
      <w:marTop w:val="0"/>
      <w:marBottom w:val="0"/>
      <w:divBdr>
        <w:top w:val="none" w:sz="0" w:space="0" w:color="auto"/>
        <w:left w:val="none" w:sz="0" w:space="0" w:color="auto"/>
        <w:bottom w:val="none" w:sz="0" w:space="0" w:color="auto"/>
        <w:right w:val="none" w:sz="0" w:space="0" w:color="auto"/>
      </w:divBdr>
    </w:div>
    <w:div w:id="1392145933">
      <w:bodyDiv w:val="1"/>
      <w:marLeft w:val="0"/>
      <w:marRight w:val="0"/>
      <w:marTop w:val="0"/>
      <w:marBottom w:val="0"/>
      <w:divBdr>
        <w:top w:val="none" w:sz="0" w:space="0" w:color="auto"/>
        <w:left w:val="none" w:sz="0" w:space="0" w:color="auto"/>
        <w:bottom w:val="none" w:sz="0" w:space="0" w:color="auto"/>
        <w:right w:val="none" w:sz="0" w:space="0" w:color="auto"/>
      </w:divBdr>
    </w:div>
    <w:div w:id="1398481184">
      <w:bodyDiv w:val="1"/>
      <w:marLeft w:val="0"/>
      <w:marRight w:val="0"/>
      <w:marTop w:val="0"/>
      <w:marBottom w:val="0"/>
      <w:divBdr>
        <w:top w:val="none" w:sz="0" w:space="0" w:color="auto"/>
        <w:left w:val="none" w:sz="0" w:space="0" w:color="auto"/>
        <w:bottom w:val="none" w:sz="0" w:space="0" w:color="auto"/>
        <w:right w:val="none" w:sz="0" w:space="0" w:color="auto"/>
      </w:divBdr>
    </w:div>
    <w:div w:id="1433278053">
      <w:bodyDiv w:val="1"/>
      <w:marLeft w:val="0"/>
      <w:marRight w:val="0"/>
      <w:marTop w:val="0"/>
      <w:marBottom w:val="0"/>
      <w:divBdr>
        <w:top w:val="none" w:sz="0" w:space="0" w:color="auto"/>
        <w:left w:val="none" w:sz="0" w:space="0" w:color="auto"/>
        <w:bottom w:val="none" w:sz="0" w:space="0" w:color="auto"/>
        <w:right w:val="none" w:sz="0" w:space="0" w:color="auto"/>
      </w:divBdr>
    </w:div>
    <w:div w:id="1466704400">
      <w:bodyDiv w:val="1"/>
      <w:marLeft w:val="0"/>
      <w:marRight w:val="0"/>
      <w:marTop w:val="0"/>
      <w:marBottom w:val="0"/>
      <w:divBdr>
        <w:top w:val="none" w:sz="0" w:space="0" w:color="auto"/>
        <w:left w:val="none" w:sz="0" w:space="0" w:color="auto"/>
        <w:bottom w:val="none" w:sz="0" w:space="0" w:color="auto"/>
        <w:right w:val="none" w:sz="0" w:space="0" w:color="auto"/>
      </w:divBdr>
    </w:div>
    <w:div w:id="1674646197">
      <w:bodyDiv w:val="1"/>
      <w:marLeft w:val="0"/>
      <w:marRight w:val="0"/>
      <w:marTop w:val="0"/>
      <w:marBottom w:val="0"/>
      <w:divBdr>
        <w:top w:val="none" w:sz="0" w:space="0" w:color="auto"/>
        <w:left w:val="none" w:sz="0" w:space="0" w:color="auto"/>
        <w:bottom w:val="none" w:sz="0" w:space="0" w:color="auto"/>
        <w:right w:val="none" w:sz="0" w:space="0" w:color="auto"/>
      </w:divBdr>
    </w:div>
    <w:div w:id="1703701780">
      <w:bodyDiv w:val="1"/>
      <w:marLeft w:val="0"/>
      <w:marRight w:val="0"/>
      <w:marTop w:val="0"/>
      <w:marBottom w:val="0"/>
      <w:divBdr>
        <w:top w:val="none" w:sz="0" w:space="0" w:color="auto"/>
        <w:left w:val="none" w:sz="0" w:space="0" w:color="auto"/>
        <w:bottom w:val="none" w:sz="0" w:space="0" w:color="auto"/>
        <w:right w:val="none" w:sz="0" w:space="0" w:color="auto"/>
      </w:divBdr>
    </w:div>
    <w:div w:id="1826507136">
      <w:bodyDiv w:val="1"/>
      <w:marLeft w:val="0"/>
      <w:marRight w:val="0"/>
      <w:marTop w:val="0"/>
      <w:marBottom w:val="0"/>
      <w:divBdr>
        <w:top w:val="none" w:sz="0" w:space="0" w:color="auto"/>
        <w:left w:val="none" w:sz="0" w:space="0" w:color="auto"/>
        <w:bottom w:val="none" w:sz="0" w:space="0" w:color="auto"/>
        <w:right w:val="none" w:sz="0" w:space="0" w:color="auto"/>
      </w:divBdr>
    </w:div>
    <w:div w:id="1923367644">
      <w:bodyDiv w:val="1"/>
      <w:marLeft w:val="0"/>
      <w:marRight w:val="0"/>
      <w:marTop w:val="0"/>
      <w:marBottom w:val="0"/>
      <w:divBdr>
        <w:top w:val="none" w:sz="0" w:space="0" w:color="auto"/>
        <w:left w:val="none" w:sz="0" w:space="0" w:color="auto"/>
        <w:bottom w:val="none" w:sz="0" w:space="0" w:color="auto"/>
        <w:right w:val="none" w:sz="0" w:space="0" w:color="auto"/>
      </w:divBdr>
    </w:div>
    <w:div w:id="1932004646">
      <w:bodyDiv w:val="1"/>
      <w:marLeft w:val="0"/>
      <w:marRight w:val="0"/>
      <w:marTop w:val="0"/>
      <w:marBottom w:val="0"/>
      <w:divBdr>
        <w:top w:val="none" w:sz="0" w:space="0" w:color="auto"/>
        <w:left w:val="none" w:sz="0" w:space="0" w:color="auto"/>
        <w:bottom w:val="none" w:sz="0" w:space="0" w:color="auto"/>
        <w:right w:val="none" w:sz="0" w:space="0" w:color="auto"/>
      </w:divBdr>
    </w:div>
    <w:div w:id="1974676592">
      <w:bodyDiv w:val="1"/>
      <w:marLeft w:val="0"/>
      <w:marRight w:val="0"/>
      <w:marTop w:val="0"/>
      <w:marBottom w:val="0"/>
      <w:divBdr>
        <w:top w:val="none" w:sz="0" w:space="0" w:color="auto"/>
        <w:left w:val="none" w:sz="0" w:space="0" w:color="auto"/>
        <w:bottom w:val="none" w:sz="0" w:space="0" w:color="auto"/>
        <w:right w:val="none" w:sz="0" w:space="0" w:color="auto"/>
      </w:divBdr>
    </w:div>
    <w:div w:id="1986353269">
      <w:bodyDiv w:val="1"/>
      <w:marLeft w:val="0"/>
      <w:marRight w:val="0"/>
      <w:marTop w:val="0"/>
      <w:marBottom w:val="0"/>
      <w:divBdr>
        <w:top w:val="none" w:sz="0" w:space="0" w:color="auto"/>
        <w:left w:val="none" w:sz="0" w:space="0" w:color="auto"/>
        <w:bottom w:val="none" w:sz="0" w:space="0" w:color="auto"/>
        <w:right w:val="none" w:sz="0" w:space="0" w:color="auto"/>
      </w:divBdr>
    </w:div>
    <w:div w:id="2030253868">
      <w:bodyDiv w:val="1"/>
      <w:marLeft w:val="0"/>
      <w:marRight w:val="0"/>
      <w:marTop w:val="0"/>
      <w:marBottom w:val="0"/>
      <w:divBdr>
        <w:top w:val="none" w:sz="0" w:space="0" w:color="auto"/>
        <w:left w:val="none" w:sz="0" w:space="0" w:color="auto"/>
        <w:bottom w:val="none" w:sz="0" w:space="0" w:color="auto"/>
        <w:right w:val="none" w:sz="0" w:space="0" w:color="auto"/>
      </w:divBdr>
    </w:div>
    <w:div w:id="2041586465">
      <w:bodyDiv w:val="1"/>
      <w:marLeft w:val="0"/>
      <w:marRight w:val="0"/>
      <w:marTop w:val="0"/>
      <w:marBottom w:val="0"/>
      <w:divBdr>
        <w:top w:val="none" w:sz="0" w:space="0" w:color="auto"/>
        <w:left w:val="none" w:sz="0" w:space="0" w:color="auto"/>
        <w:bottom w:val="none" w:sz="0" w:space="0" w:color="auto"/>
        <w:right w:val="none" w:sz="0" w:space="0" w:color="auto"/>
      </w:divBdr>
    </w:div>
    <w:div w:id="2072341063">
      <w:bodyDiv w:val="1"/>
      <w:marLeft w:val="0"/>
      <w:marRight w:val="0"/>
      <w:marTop w:val="0"/>
      <w:marBottom w:val="0"/>
      <w:divBdr>
        <w:top w:val="none" w:sz="0" w:space="0" w:color="auto"/>
        <w:left w:val="none" w:sz="0" w:space="0" w:color="auto"/>
        <w:bottom w:val="none" w:sz="0" w:space="0" w:color="auto"/>
        <w:right w:val="none" w:sz="0" w:space="0" w:color="auto"/>
      </w:divBdr>
    </w:div>
    <w:div w:id="2072999316">
      <w:bodyDiv w:val="1"/>
      <w:marLeft w:val="0"/>
      <w:marRight w:val="0"/>
      <w:marTop w:val="0"/>
      <w:marBottom w:val="0"/>
      <w:divBdr>
        <w:top w:val="none" w:sz="0" w:space="0" w:color="auto"/>
        <w:left w:val="none" w:sz="0" w:space="0" w:color="auto"/>
        <w:bottom w:val="none" w:sz="0" w:space="0" w:color="auto"/>
        <w:right w:val="none" w:sz="0" w:space="0" w:color="auto"/>
      </w:divBdr>
    </w:div>
    <w:div w:id="2081829583">
      <w:bodyDiv w:val="1"/>
      <w:marLeft w:val="0"/>
      <w:marRight w:val="0"/>
      <w:marTop w:val="0"/>
      <w:marBottom w:val="0"/>
      <w:divBdr>
        <w:top w:val="none" w:sz="0" w:space="0" w:color="auto"/>
        <w:left w:val="none" w:sz="0" w:space="0" w:color="auto"/>
        <w:bottom w:val="none" w:sz="0" w:space="0" w:color="auto"/>
        <w:right w:val="none" w:sz="0" w:space="0" w:color="auto"/>
      </w:divBdr>
    </w:div>
    <w:div w:id="2092923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zhang-xd23@mails.tsinghua.edu.cn" TargetMode="External"/><Relationship Id="rId10" Type="http://schemas.openxmlformats.org/officeDocument/2006/relationships/fontTable" Target="fontTable.xml"/><Relationship Id="rId4" Type="http://schemas.openxmlformats.org/officeDocument/2006/relationships/hyperlink" Target="mailto:wljean@126.com" TargetMode="Externa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.~WRD0001</Template>
  <TotalTime>20</TotalTime>
  <Pages>21</Pages>
  <Words>24673</Words>
  <Characters>24674</Characters>
  <Application>Microsoft Office Word</Application>
  <DocSecurity>0</DocSecurity>
  <Lines>949</Lines>
  <Paragraphs>695</Paragraphs>
  <ScaleCrop>false</ScaleCrop>
  <Company/>
  <LinksUpToDate>false</LinksUpToDate>
  <CharactersWithSpaces>48652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53</cp:revision>
  <dcterms:created xsi:type="dcterms:W3CDTF">2026-04-11T03:08:00Z</dcterms:created>
  <dcterms:modified xsi:type="dcterms:W3CDTF">2026-04-11T14:38:00Z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77F69F609FCA379BC9B0CB69D0101550_42</vt:lpwstr>
  </property>
</Properties>
</file>