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880"/>
        <w:jc w:val="center"/>
      </w:pPr>
      <w:r>
        <w:rPr>
          <w:b/>
          <w:color w:val="1F4D78"/>
          <w:sz w:val="44"/>
        </w:rPr>
        <w:t>Waterline One</w:t>
      </w:r>
    </w:p>
    <w:p>
      <w:pPr>
        <w:jc w:val="center"/>
      </w:pPr>
      <w:r>
        <w:rPr>
          <w:i/>
          <w:color w:val="555555"/>
          <w:sz w:val="22"/>
        </w:rPr>
        <w:t>Sistema web para geolocalización y trazabilidad de clientes, créditos y pagos</w:t>
      </w:r>
    </w:p>
    <w:p/>
    <w:p>
      <w:pPr>
        <w:jc w:val="center"/>
      </w:pPr>
      <w:r>
        <w:rPr>
          <w:b/>
          <w:color w:val="1F4D78"/>
          <w:sz w:val="40"/>
        </w:rPr>
        <w:t>DOCUMENTO DE REGLAS DE NEGOCIO</w:t>
      </w:r>
    </w:p>
    <w:p>
      <w:pPr>
        <w:jc w:val="center"/>
      </w:pPr>
      <w:r>
        <w:rPr>
          <w:color w:val="555555"/>
          <w:sz w:val="24"/>
        </w:rPr>
        <w:t>Resumen de reglas y restricciones operativas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DRN-01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0.1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Elaborado por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Caso de estudio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Empresa purificadora de agua - caso de estudio</w:t>
            </w:r>
          </w:p>
        </w:tc>
      </w:tr>
    </w:tbl>
    <w:p/>
    <w:p>
      <w:pPr>
        <w:jc w:val="center"/>
      </w:pPr>
      <w:r>
        <w:rPr>
          <w:i/>
        </w:rPr>
        <w:t>Estado del documento: versión preliminar para levantamiento y validación de requerimientos.</w:t>
      </w:r>
    </w:p>
    <w:p>
      <w:r>
        <w:br w:type="page"/>
      </w:r>
    </w:p>
    <w:p>
      <w:pPr>
        <w:pStyle w:val="Heading1"/>
      </w:pPr>
      <w:r>
        <w:t>Historial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532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Autor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t>0.1</w:t>
            </w:r>
          </w:p>
        </w:tc>
        <w:tc>
          <w:tcPr>
            <w:tcW w:type="dxa" w:w="5328"/>
            <w:vAlign w:val="center"/>
          </w:tcPr>
          <w:p>
            <w:pPr>
              <w:spacing w:after="40" w:before="40"/>
            </w:pPr>
            <w:r>
              <w:t>Primera versión del documento para validación.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</w:tbl>
    <w:p>
      <w:pPr>
        <w:pStyle w:val="Heading1"/>
      </w:pPr>
      <w:r>
        <w:t>Tabla de 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Reglas del modelo de datos</w:t>
      </w:r>
    </w:p>
    <w:p>
      <w:pPr>
        <w:pStyle w:val="ListNumber"/>
      </w:pPr>
      <w:r>
        <w:t>Reglas de relación</w:t>
      </w:r>
    </w:p>
    <w:p>
      <w:pPr>
        <w:pStyle w:val="ListNumber"/>
      </w:pPr>
      <w:r>
        <w:t>Reglas de derivación</w:t>
      </w:r>
    </w:p>
    <w:p>
      <w:pPr>
        <w:pStyle w:val="ListNumber"/>
      </w:pPr>
      <w:r>
        <w:t>Reglas de restricción</w:t>
      </w:r>
    </w:p>
    <w:p>
      <w:pPr>
        <w:pStyle w:val="ListNumber"/>
      </w:pPr>
      <w:r>
        <w:t>Reglas de flujo</w:t>
      </w:r>
    </w:p>
    <w:p>
      <w:pPr>
        <w:pStyle w:val="ListNumber"/>
      </w:pPr>
      <w:r>
        <w:t>Aprobación</w:t>
      </w:r>
    </w:p>
    <w:p>
      <w:pPr>
        <w:pStyle w:val="Heading1"/>
      </w:pPr>
      <w:r>
        <w:t>1. Introducción</w:t>
      </w:r>
    </w:p>
    <w:p>
      <w:r>
        <w:t>Este documento forma parte de la planificación inicial de Waterline One. Su propósito es alinear al propietario, los usuarios de campo y el equipo de desarrollo antes de implementar la solución.</w:t>
      </w:r>
    </w:p>
    <w:p>
      <w:pPr>
        <w:pStyle w:val="Heading2"/>
      </w:pPr>
      <w:r>
        <w:t>1.1 Objetivo</w:t>
      </w:r>
    </w:p>
    <w:p>
      <w:r>
        <w:t>Formalizar las condiciones y restricciones que Waterline One debe respetar para conservar información confiable, trazable y verificable.</w:t>
      </w:r>
    </w:p>
    <w:p>
      <w:pPr>
        <w:pStyle w:val="Heading2"/>
      </w:pPr>
      <w:r>
        <w:t>1.2 Definiciones, acrónimos y abreviaturas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Término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DRN</w:t>
            </w:r>
          </w:p>
        </w:tc>
        <w:tc>
          <w:tcPr>
            <w:tcW w:type="dxa" w:w="4896"/>
          </w:tcPr>
          <w:p>
            <w:r>
              <w:t>Documento de Reglas de Negocio.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RN</w:t>
            </w:r>
          </w:p>
        </w:tc>
        <w:tc>
          <w:tcPr>
            <w:tcW w:type="dxa" w:w="4896"/>
          </w:tcPr>
          <w:p>
            <w:r>
              <w:t>Regla de Negocio.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4896"/>
          </w:tcPr>
          <w:p>
            <w:r>
              <w:t>Monto pendiente que el cliente debe por créditos válidos menos pagos válidos.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Anulación</w:t>
            </w:r>
          </w:p>
        </w:tc>
        <w:tc>
          <w:tcPr>
            <w:tcW w:type="dxa" w:w="4896"/>
          </w:tcPr>
          <w:p>
            <w:r>
              <w:t>Invalidación controlada de una operación sin eliminar su evidencia.</w:t>
            </w:r>
          </w:p>
        </w:tc>
      </w:tr>
    </w:tbl>
    <w:p>
      <w:pPr>
        <w:pStyle w:val="Heading1"/>
      </w:pPr>
      <w:r>
        <w:t>2. Reglas del modelo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51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Regla</w:t>
            </w:r>
          </w:p>
        </w:tc>
        <w:tc>
          <w:tcPr>
            <w:tcW w:type="dxa" w:w="784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896"/>
          </w:tcPr>
          <w:p>
            <w:r>
              <w:t>RN-01</w:t>
            </w:r>
          </w:p>
        </w:tc>
        <w:tc>
          <w:tcPr>
            <w:tcW w:type="dxa" w:w="4896"/>
          </w:tcPr>
          <w:p>
            <w:r>
              <w:t>Cada usuario debe tener una cuenta única y un rol asignado.</w:t>
            </w:r>
          </w:p>
        </w:tc>
      </w:tr>
      <w:tr>
        <w:tc>
          <w:tcPr>
            <w:tcW w:type="dxa" w:w="4896"/>
          </w:tcPr>
          <w:p>
            <w:r>
              <w:t>RN-02</w:t>
            </w:r>
          </w:p>
        </w:tc>
        <w:tc>
          <w:tcPr>
            <w:tcW w:type="dxa" w:w="4896"/>
          </w:tcPr>
          <w:p>
            <w:r>
              <w:t>Cada cliente debe tener un expediente único; su teléfono es opcional y no se usa como identificador obligatorio.</w:t>
            </w:r>
          </w:p>
        </w:tc>
      </w:tr>
      <w:tr>
        <w:tc>
          <w:tcPr>
            <w:tcW w:type="dxa" w:w="4896"/>
          </w:tcPr>
          <w:p>
            <w:r>
              <w:t>RN-03</w:t>
            </w:r>
          </w:p>
        </w:tc>
        <w:tc>
          <w:tcPr>
            <w:tcW w:type="dxa" w:w="4896"/>
          </w:tcPr>
          <w:p>
            <w:r>
              <w:t>Un cliente activo debe contar con una referencia de ubicación o un punto geográfico validado.</w:t>
            </w:r>
          </w:p>
        </w:tc>
      </w:tr>
      <w:tr>
        <w:tc>
          <w:tcPr>
            <w:tcW w:type="dxa" w:w="4896"/>
          </w:tcPr>
          <w:p>
            <w:r>
              <w:t>RN-04</w:t>
            </w:r>
          </w:p>
        </w:tc>
        <w:tc>
          <w:tcPr>
            <w:tcW w:type="dxa" w:w="4896"/>
          </w:tcPr>
          <w:p>
            <w:r>
              <w:t>Toda entrega a crédito, pago o abono confirmado recibe un folio único e irrepetible.</w:t>
            </w:r>
          </w:p>
        </w:tc>
      </w:tr>
    </w:tbl>
    <w:p>
      <w:pPr>
        <w:pStyle w:val="Heading1"/>
      </w:pPr>
      <w:r>
        <w:t>3. Reglas de relación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51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Regla</w:t>
            </w:r>
          </w:p>
        </w:tc>
        <w:tc>
          <w:tcPr>
            <w:tcW w:type="dxa" w:w="784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896"/>
          </w:tcPr>
          <w:p>
            <w:r>
              <w:t>RN-05</w:t>
            </w:r>
          </w:p>
        </w:tc>
        <w:tc>
          <w:tcPr>
            <w:tcW w:type="dxa" w:w="4896"/>
          </w:tcPr>
          <w:p>
            <w:r>
              <w:t>Una entrega a crédito incrementa el saldo del cliente al ser confirmada.</w:t>
            </w:r>
          </w:p>
        </w:tc>
      </w:tr>
      <w:tr>
        <w:tc>
          <w:tcPr>
            <w:tcW w:type="dxa" w:w="4896"/>
          </w:tcPr>
          <w:p>
            <w:r>
              <w:t>RN-06</w:t>
            </w:r>
          </w:p>
        </w:tc>
        <w:tc>
          <w:tcPr>
            <w:tcW w:type="dxa" w:w="4896"/>
          </w:tcPr>
          <w:p>
            <w:r>
              <w:t>Un pago o abono disminuye el saldo pendiente sin permitir un valor negativo.</w:t>
            </w:r>
          </w:p>
        </w:tc>
      </w:tr>
      <w:tr>
        <w:tc>
          <w:tcPr>
            <w:tcW w:type="dxa" w:w="4896"/>
          </w:tcPr>
          <w:p>
            <w:r>
              <w:t>RN-07</w:t>
            </w:r>
          </w:p>
        </w:tc>
        <w:tc>
          <w:tcPr>
            <w:tcW w:type="dxa" w:w="4896"/>
          </w:tcPr>
          <w:p>
            <w:r>
              <w:t>Toda entrega a crédito y todo pago confirmado genera una constancia.</w:t>
            </w:r>
          </w:p>
        </w:tc>
      </w:tr>
    </w:tbl>
    <w:p>
      <w:pPr>
        <w:pStyle w:val="Heading1"/>
      </w:pPr>
      <w:r>
        <w:t>4. Reglas de derivación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51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Regla</w:t>
            </w:r>
          </w:p>
        </w:tc>
        <w:tc>
          <w:tcPr>
            <w:tcW w:type="dxa" w:w="784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896"/>
          </w:tcPr>
          <w:p>
            <w:r>
              <w:t>RN-08</w:t>
            </w:r>
          </w:p>
        </w:tc>
        <w:tc>
          <w:tcPr>
            <w:tcW w:type="dxa" w:w="4896"/>
          </w:tcPr>
          <w:p>
            <w:r>
              <w:t>Una operación confirmada no se edita directamente.</w:t>
            </w:r>
          </w:p>
        </w:tc>
      </w:tr>
      <w:tr>
        <w:tc>
          <w:tcPr>
            <w:tcW w:type="dxa" w:w="4896"/>
          </w:tcPr>
          <w:p>
            <w:r>
              <w:t>RN-09</w:t>
            </w:r>
          </w:p>
        </w:tc>
        <w:tc>
          <w:tcPr>
            <w:tcW w:type="dxa" w:w="4896"/>
          </w:tcPr>
          <w:p>
            <w:r>
              <w:t>Solo un administrador puede anular una operación y debe indicar motivo.</w:t>
            </w:r>
          </w:p>
        </w:tc>
      </w:tr>
      <w:tr>
        <w:tc>
          <w:tcPr>
            <w:tcW w:type="dxa" w:w="4896"/>
          </w:tcPr>
          <w:p>
            <w:r>
              <w:t>RN-10</w:t>
            </w:r>
          </w:p>
        </w:tc>
        <w:tc>
          <w:tcPr>
            <w:tcW w:type="dxa" w:w="4896"/>
          </w:tcPr>
          <w:p>
            <w:r>
              <w:t>Todo pago registrado por un vendedor queda pendiente de liquidación hasta su confirmación.</w:t>
            </w:r>
          </w:p>
        </w:tc>
      </w:tr>
      <w:tr>
        <w:tc>
          <w:tcPr>
            <w:tcW w:type="dxa" w:w="4896"/>
          </w:tcPr>
          <w:p>
            <w:r>
              <w:t>RN-11</w:t>
            </w:r>
          </w:p>
        </w:tc>
        <w:tc>
          <w:tcPr>
            <w:tcW w:type="dxa" w:w="4896"/>
          </w:tcPr>
          <w:p>
            <w:r>
              <w:t>Una liquidación debe relacionar pagos concretos y el vendedor responsable.</w:t>
            </w:r>
          </w:p>
        </w:tc>
      </w:tr>
    </w:tbl>
    <w:p>
      <w:pPr>
        <w:pStyle w:val="Heading1"/>
      </w:pPr>
      <w:r>
        <w:t>5. Reglas de restricción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51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Regla</w:t>
            </w:r>
          </w:p>
        </w:tc>
        <w:tc>
          <w:tcPr>
            <w:tcW w:type="dxa" w:w="784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896"/>
          </w:tcPr>
          <w:p>
            <w:r>
              <w:t>RN-12</w:t>
            </w:r>
          </w:p>
        </w:tc>
        <w:tc>
          <w:tcPr>
            <w:tcW w:type="dxa" w:w="4896"/>
          </w:tcPr>
          <w:p>
            <w:r>
              <w:t>El sistema registra creación, anulación, liquidación y accesos relevantes.</w:t>
            </w:r>
          </w:p>
        </w:tc>
      </w:tr>
      <w:tr>
        <w:tc>
          <w:tcPr>
            <w:tcW w:type="dxa" w:w="4896"/>
          </w:tcPr>
          <w:p>
            <w:r>
              <w:t>RN-13</w:t>
            </w:r>
          </w:p>
        </w:tc>
        <w:tc>
          <w:tcPr>
            <w:tcW w:type="dxa" w:w="4896"/>
          </w:tcPr>
          <w:p>
            <w:r>
              <w:t>La consulta mediante código o QR es de solo lectura.</w:t>
            </w:r>
          </w:p>
        </w:tc>
      </w:tr>
    </w:tbl>
    <w:p>
      <w:pPr>
        <w:pStyle w:val="Heading1"/>
      </w:pPr>
      <w:r>
        <w:t>6. Reglas de flujo y análisis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51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Regla</w:t>
            </w:r>
          </w:p>
        </w:tc>
        <w:tc>
          <w:tcPr>
            <w:tcW w:type="dxa" w:w="784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896"/>
          </w:tcPr>
          <w:p>
            <w:r>
              <w:t>RN-14</w:t>
            </w:r>
          </w:p>
        </w:tc>
        <w:tc>
          <w:tcPr>
            <w:tcW w:type="dxa" w:w="4896"/>
          </w:tcPr>
          <w:p>
            <w:r>
              <w:t>Las variables analíticas se calculan únicamente con operaciones válidas.</w:t>
            </w:r>
          </w:p>
        </w:tc>
      </w:tr>
    </w:tbl>
    <w:p>
      <w:pPr>
        <w:pStyle w:val="Heading1"/>
      </w:pPr>
      <w:r>
        <w:t>7. Aprobación</w:t>
      </w:r>
    </w:p>
    <w:p>
      <w:r>
        <w:t>Las reglas anteriores se validarán con el propietario y los vendedores durante el levantamiento. Toda regla aprobada que cambie una operación, saldo, constancia o liquidación deberá reflejarse también en los criterios de aceptación y pruebas del sistema.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 xml:space="preserve">DRN-01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</w:pPr>
    <w:r>
      <w:rPr>
        <w:rFonts w:ascii="Calibri" w:hAnsi="Calibri"/>
        <w:color w:val="666666"/>
        <w:sz w:val="16"/>
      </w:rPr>
      <w:t>Waterline One | Documento de Reglas de Negocio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