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880"/>
        <w:jc w:val="center"/>
      </w:pPr>
      <w:r>
        <w:rPr>
          <w:b/>
          <w:color w:val="1F4D78"/>
          <w:sz w:val="44"/>
        </w:rPr>
        <w:t>Waterline One</w:t>
      </w:r>
    </w:p>
    <w:p>
      <w:pPr>
        <w:jc w:val="center"/>
      </w:pPr>
      <w:r>
        <w:rPr>
          <w:i/>
          <w:color w:val="555555"/>
          <w:sz w:val="22"/>
        </w:rPr>
        <w:t>Sistema web para geolocalización y trazabilidad de clientes, créditos y pagos</w:t>
      </w:r>
    </w:p>
    <w:p/>
    <w:p>
      <w:pPr>
        <w:jc w:val="center"/>
      </w:pPr>
      <w:r>
        <w:rPr>
          <w:b/>
          <w:color w:val="1F4D78"/>
          <w:sz w:val="40"/>
        </w:rPr>
        <w:t>ESPECIFICACIÓN DE REGLAS DE NEGOCIO</w:t>
      </w:r>
    </w:p>
    <w:p>
      <w:pPr>
        <w:jc w:val="center"/>
      </w:pPr>
      <w:r>
        <w:rPr>
          <w:color w:val="555555"/>
          <w:sz w:val="24"/>
        </w:rPr>
        <w:t>Descripción detallada de reglas operativas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Código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ERN-01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0.1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Elaborado por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  <w:tr>
        <w:tc>
          <w:tcPr>
            <w:tcW w:type="dxa" w:w="266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Caso de estudio</w:t>
            </w:r>
          </w:p>
        </w:tc>
        <w:tc>
          <w:tcPr>
            <w:tcW w:type="dxa" w:w="6696"/>
            <w:vAlign w:val="center"/>
          </w:tcPr>
          <w:p>
            <w:pPr>
              <w:spacing w:after="40" w:before="40"/>
            </w:pPr>
            <w:r>
              <w:t>Empresa purificadora de agua - caso de estudio</w:t>
            </w:r>
          </w:p>
        </w:tc>
      </w:tr>
    </w:tbl>
    <w:p/>
    <w:p>
      <w:pPr>
        <w:jc w:val="center"/>
      </w:pPr>
      <w:r>
        <w:rPr>
          <w:i/>
        </w:rPr>
        <w:t>Estado del documento: versión preliminar para levantamiento y validación de requerimientos.</w:t>
      </w:r>
    </w:p>
    <w:p>
      <w:r>
        <w:br w:type="page"/>
      </w:r>
    </w:p>
    <w:p>
      <w:pPr>
        <w:pStyle w:val="Heading1"/>
      </w:pPr>
      <w:r>
        <w:t>Historial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Fecha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Versión</w:t>
            </w:r>
          </w:p>
        </w:tc>
        <w:tc>
          <w:tcPr>
            <w:tcW w:type="dxa" w:w="532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Descripción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Autor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t>28/08/2026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t>0.1</w:t>
            </w:r>
          </w:p>
        </w:tc>
        <w:tc>
          <w:tcPr>
            <w:tcW w:type="dxa" w:w="5328"/>
            <w:vAlign w:val="center"/>
          </w:tcPr>
          <w:p>
            <w:pPr>
              <w:spacing w:after="40" w:before="40"/>
            </w:pPr>
            <w:r>
              <w:t>Primera versión del documento para validación.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/>
            </w:pPr>
            <w:r>
              <w:t>Jean Klaus Castañeda Santos</w:t>
            </w:r>
          </w:p>
        </w:tc>
      </w:tr>
    </w:tbl>
    <w:p>
      <w:pPr>
        <w:pStyle w:val="Heading1"/>
      </w:pPr>
      <w:r>
        <w:t>Tabla de 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Reglas detalladas</w:t>
      </w:r>
    </w:p>
    <w:p>
      <w:pPr>
        <w:pStyle w:val="ListNumber"/>
      </w:pPr>
      <w:r>
        <w:t>Control de validación</w:t>
      </w:r>
    </w:p>
    <w:p>
      <w:pPr>
        <w:pStyle w:val="Heading1"/>
      </w:pPr>
      <w:r>
        <w:t>1. Introducción</w:t>
      </w:r>
    </w:p>
    <w:p>
      <w:r>
        <w:t>Este documento forma parte de la planificación inicial de Waterline One. Su propósito es alinear al propietario, los usuarios de campo y el equipo de desarrollo antes de implementar la solución.</w:t>
      </w:r>
    </w:p>
    <w:p>
      <w:pPr>
        <w:pStyle w:val="Heading2"/>
      </w:pPr>
      <w:r>
        <w:t>1.1 Objetivo</w:t>
      </w:r>
    </w:p>
    <w:p>
      <w:r>
        <w:t>Describir de forma ampliada las reglas de negocio que orientarán el diseño de la base de datos, las pantallas, validaciones y pruebas de Waterline One.</w:t>
      </w:r>
    </w:p>
    <w:p>
      <w:pPr>
        <w:pStyle w:val="Heading2"/>
      </w:pPr>
      <w:r>
        <w:t>1.2 Definiciones, acrónimos y abreviaturas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Término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40" w:before="40"/>
            </w:pPr>
            <w:r>
              <w:rPr>
                <w:b/>
              </w:rPr>
              <w:t>Definición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ERN</w:t>
            </w:r>
          </w:p>
        </w:tc>
        <w:tc>
          <w:tcPr>
            <w:tcW w:type="dxa" w:w="4896"/>
          </w:tcPr>
          <w:p>
            <w:r>
              <w:t>Especificación de Reglas de Negocio.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Caso límite</w:t>
            </w:r>
          </w:p>
        </w:tc>
        <w:tc>
          <w:tcPr>
            <w:tcW w:type="dxa" w:w="4896"/>
          </w:tcPr>
          <w:p>
            <w:r>
              <w:t>Situación excepcional que debe manejarse sin perder consistencia.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Operación válida</w:t>
            </w:r>
          </w:p>
        </w:tc>
        <w:tc>
          <w:tcPr>
            <w:tcW w:type="dxa" w:w="4896"/>
          </w:tcPr>
          <w:p>
            <w:r>
              <w:t>Movimiento confirmado y no anulado.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Administrador</w:t>
            </w:r>
          </w:p>
        </w:tc>
        <w:tc>
          <w:tcPr>
            <w:tcW w:type="dxa" w:w="4896"/>
          </w:tcPr>
          <w:p>
            <w:r>
              <w:t>Usuario con autorización para control, reportes y anulaciones.</w:t>
            </w:r>
          </w:p>
        </w:tc>
      </w:tr>
    </w:tbl>
    <w:p>
      <w:pPr>
        <w:pStyle w:val="Heading1"/>
      </w:pPr>
      <w:r>
        <w:t>2. Reglas detalladas</w:t>
      </w:r>
    </w:p>
    <w:p>
      <w:pPr>
        <w:pStyle w:val="Heading2"/>
      </w:pPr>
      <w:r>
        <w:t>RN-01 - Usuarios</w:t>
      </w:r>
    </w:p>
    <w:p>
      <w:r>
        <w:rPr>
          <w:b/>
        </w:rPr>
        <w:t xml:space="preserve">Descripción: </w:t>
      </w:r>
      <w:r>
        <w:t>Cada usuario debe tener una cuenta única y un rol asignado.</w:t>
      </w:r>
    </w:p>
    <w:p>
      <w:r>
        <w:rPr>
          <w:b/>
        </w:rPr>
        <w:t xml:space="preserve">Justificación: </w:t>
      </w:r>
      <w:r>
        <w:t>Evita accesos no identificados y permite atribuir acciones.</w:t>
      </w:r>
    </w:p>
    <w:p>
      <w:r>
        <w:rPr>
          <w:b/>
        </w:rPr>
        <w:t xml:space="preserve">Ejemplo: </w:t>
      </w:r>
      <w:r>
        <w:t>María inicia sesión como vendedora y el sistema registra que ella creó la operación.</w:t>
      </w:r>
    </w:p>
    <w:p>
      <w:r>
        <w:rPr>
          <w:b/>
        </w:rPr>
        <w:t xml:space="preserve">Caso límite: </w:t>
      </w:r>
      <w:r>
        <w:t>No se puede crear una operación sin usuario autenticado.</w:t>
      </w:r>
    </w:p>
    <w:p>
      <w:pPr>
        <w:pStyle w:val="Heading2"/>
      </w:pPr>
      <w:r>
        <w:t>RN-02 - Clientes</w:t>
      </w:r>
    </w:p>
    <w:p>
      <w:r>
        <w:rPr>
          <w:b/>
        </w:rPr>
        <w:t xml:space="preserve">Descripción: </w:t>
      </w:r>
      <w:r>
        <w:t>Cada cliente debe tener un expediente único; su teléfono es opcional y no se usa como identificador obligatorio.</w:t>
      </w:r>
    </w:p>
    <w:p>
      <w:r>
        <w:rPr>
          <w:b/>
        </w:rPr>
        <w:t xml:space="preserve">Justificación: </w:t>
      </w:r>
      <w:r>
        <w:t>Evita duplicidad sin excluir clientes que no usan teléfono.</w:t>
      </w:r>
    </w:p>
    <w:p>
      <w:r>
        <w:rPr>
          <w:b/>
        </w:rPr>
        <w:t xml:space="preserve">Ejemplo: </w:t>
      </w:r>
      <w:r>
        <w:t>Dos clientes pueden llamarse Juan Pérez, pero el sistema conserva su referencia y ubicación para diferenciarlos.</w:t>
      </w:r>
    </w:p>
    <w:p>
      <w:r>
        <w:rPr>
          <w:b/>
        </w:rPr>
        <w:t xml:space="preserve">Caso límite: </w:t>
      </w:r>
      <w:r>
        <w:t>El sistema advierte posibles coincidencias por nombre y ubicación.</w:t>
      </w:r>
    </w:p>
    <w:p>
      <w:pPr>
        <w:pStyle w:val="Heading2"/>
      </w:pPr>
      <w:r>
        <w:t>RN-03 - Ubicación</w:t>
      </w:r>
    </w:p>
    <w:p>
      <w:r>
        <w:rPr>
          <w:b/>
        </w:rPr>
        <w:t xml:space="preserve">Descripción: </w:t>
      </w:r>
      <w:r>
        <w:t>Un cliente activo debe contar con una referencia de ubicación o un punto geográfico validado.</w:t>
      </w:r>
    </w:p>
    <w:p>
      <w:r>
        <w:rPr>
          <w:b/>
        </w:rPr>
        <w:t xml:space="preserve">Justificación: </w:t>
      </w:r>
      <w:r>
        <w:t>Facilita encontrarlo en campo sin depender solo de memoria.</w:t>
      </w:r>
    </w:p>
    <w:p>
      <w:r>
        <w:rPr>
          <w:b/>
        </w:rPr>
        <w:t xml:space="preserve">Ejemplo: </w:t>
      </w:r>
      <w:r>
        <w:t>El vendedor fija el punto del cliente frente a la tienda o agrega la referencia “casa azul junto a la cancha”.</w:t>
      </w:r>
    </w:p>
    <w:p>
      <w:r>
        <w:rPr>
          <w:b/>
        </w:rPr>
        <w:t xml:space="preserve">Caso límite: </w:t>
      </w:r>
      <w:r>
        <w:t>Si no hay señal, se permite guardar la referencia textual para completar el punto después.</w:t>
      </w:r>
    </w:p>
    <w:p>
      <w:pPr>
        <w:pStyle w:val="Heading2"/>
      </w:pPr>
      <w:r>
        <w:t>RN-04 - Folio</w:t>
      </w:r>
    </w:p>
    <w:p>
      <w:r>
        <w:rPr>
          <w:b/>
        </w:rPr>
        <w:t xml:space="preserve">Descripción: </w:t>
      </w:r>
      <w:r>
        <w:t>Toda entrega a crédito, pago o abono confirmado recibe un folio único e irrepetible.</w:t>
      </w:r>
    </w:p>
    <w:p>
      <w:r>
        <w:rPr>
          <w:b/>
        </w:rPr>
        <w:t xml:space="preserve">Justificación: </w:t>
      </w:r>
      <w:r>
        <w:t>Permite verificar una operación específica.</w:t>
      </w:r>
    </w:p>
    <w:p>
      <w:r>
        <w:rPr>
          <w:b/>
        </w:rPr>
        <w:t xml:space="preserve">Ejemplo: </w:t>
      </w:r>
      <w:r>
        <w:t>El pago FOL-20260828-0001 puede verificarse aun después de imprimir la constancia.</w:t>
      </w:r>
    </w:p>
    <w:p>
      <w:r>
        <w:rPr>
          <w:b/>
        </w:rPr>
        <w:t xml:space="preserve">Caso límite: </w:t>
      </w:r>
      <w:r>
        <w:t>Un folio no se reutiliza aun cuando una operación sea anulada.</w:t>
      </w:r>
    </w:p>
    <w:p>
      <w:pPr>
        <w:pStyle w:val="Heading2"/>
      </w:pPr>
      <w:r>
        <w:t>RN-05 - Créditos</w:t>
      </w:r>
    </w:p>
    <w:p>
      <w:r>
        <w:rPr>
          <w:b/>
        </w:rPr>
        <w:t xml:space="preserve">Descripción: </w:t>
      </w:r>
      <w:r>
        <w:t>Una entrega a crédito incrementa el saldo del cliente al ser confirmada.</w:t>
      </w:r>
    </w:p>
    <w:p>
      <w:r>
        <w:rPr>
          <w:b/>
        </w:rPr>
        <w:t xml:space="preserve">Justificación: </w:t>
      </w:r>
      <w:r>
        <w:t>Mantiene una cartera actualizada.</w:t>
      </w:r>
    </w:p>
    <w:p>
      <w:r>
        <w:rPr>
          <w:b/>
        </w:rPr>
        <w:t xml:space="preserve">Ejemplo: </w:t>
      </w:r>
      <w:r>
        <w:t>Una entrega de 5 garrafones a crédito registra producto, cantidad, precio y aumenta el saldo.</w:t>
      </w:r>
    </w:p>
    <w:p>
      <w:r>
        <w:rPr>
          <w:b/>
        </w:rPr>
        <w:t xml:space="preserve">Caso límite: </w:t>
      </w:r>
      <w:r>
        <w:t>No se confirma si faltan cliente, producto, cantidad o monto.</w:t>
      </w:r>
    </w:p>
    <w:p>
      <w:pPr>
        <w:pStyle w:val="Heading2"/>
      </w:pPr>
      <w:r>
        <w:t>RN-06 - Pagos</w:t>
      </w:r>
    </w:p>
    <w:p>
      <w:r>
        <w:rPr>
          <w:b/>
        </w:rPr>
        <w:t xml:space="preserve">Descripción: </w:t>
      </w:r>
      <w:r>
        <w:t>Un pago o abono disminuye el saldo pendiente sin permitir un valor negativo.</w:t>
      </w:r>
    </w:p>
    <w:p>
      <w:r>
        <w:rPr>
          <w:b/>
        </w:rPr>
        <w:t xml:space="preserve">Justificación: </w:t>
      </w:r>
      <w:r>
        <w:t>Evita registrar montos inconsistentes.</w:t>
      </w:r>
    </w:p>
    <w:p>
      <w:r>
        <w:rPr>
          <w:b/>
        </w:rPr>
        <w:t xml:space="preserve">Ejemplo: </w:t>
      </w:r>
      <w:r>
        <w:t>Si el cliente debe Q50 y paga Q20, el saldo resultante es Q30.</w:t>
      </w:r>
    </w:p>
    <w:p>
      <w:r>
        <w:rPr>
          <w:b/>
        </w:rPr>
        <w:t xml:space="preserve">Caso límite: </w:t>
      </w:r>
      <w:r>
        <w:t>Si el monto excede el saldo, el sistema solicita corrección o tratamiento autorizado.</w:t>
      </w:r>
    </w:p>
    <w:p>
      <w:pPr>
        <w:pStyle w:val="Heading2"/>
      </w:pPr>
      <w:r>
        <w:t>RN-07 - Constancias</w:t>
      </w:r>
    </w:p>
    <w:p>
      <w:r>
        <w:rPr>
          <w:b/>
        </w:rPr>
        <w:t xml:space="preserve">Descripción: </w:t>
      </w:r>
      <w:r>
        <w:t>Toda entrega a crédito y todo pago confirmado genera una constancia.</w:t>
      </w:r>
    </w:p>
    <w:p>
      <w:r>
        <w:rPr>
          <w:b/>
        </w:rPr>
        <w:t xml:space="preserve">Justificación: </w:t>
      </w:r>
      <w:r>
        <w:t>El cliente y la empresa conservan evidencia del movimiento.</w:t>
      </w:r>
    </w:p>
    <w:p>
      <w:r>
        <w:rPr>
          <w:b/>
        </w:rPr>
        <w:t xml:space="preserve">Ejemplo: </w:t>
      </w:r>
      <w:r>
        <w:t>La constancia indica que el cliente abonó Q20, qué vendedor lo registró y el nuevo saldo.</w:t>
      </w:r>
    </w:p>
    <w:p>
      <w:r>
        <w:rPr>
          <w:b/>
        </w:rPr>
        <w:t xml:space="preserve">Caso límite: </w:t>
      </w:r>
      <w:r>
        <w:t>La constancia muestra folio, código, fecha, vendedor, monto y saldo.</w:t>
      </w:r>
    </w:p>
    <w:p>
      <w:pPr>
        <w:pStyle w:val="Heading2"/>
      </w:pPr>
      <w:r>
        <w:t>RN-08 - Inmutabilidad</w:t>
      </w:r>
    </w:p>
    <w:p>
      <w:r>
        <w:rPr>
          <w:b/>
        </w:rPr>
        <w:t xml:space="preserve">Descripción: </w:t>
      </w:r>
      <w:r>
        <w:t>Una operación confirmada no se edita directamente.</w:t>
      </w:r>
    </w:p>
    <w:p>
      <w:r>
        <w:rPr>
          <w:b/>
        </w:rPr>
        <w:t xml:space="preserve">Justificación: </w:t>
      </w:r>
      <w:r>
        <w:t>Protege la trazabilidad y reduce riesgo de alteración.</w:t>
      </w:r>
    </w:p>
    <w:p>
      <w:r>
        <w:rPr>
          <w:b/>
        </w:rPr>
        <w:t xml:space="preserve">Ejemplo: </w:t>
      </w:r>
      <w:r>
        <w:t>Si se digitó una cantidad incorrecta, no se sobrescribe el movimiento ya confirmado.</w:t>
      </w:r>
    </w:p>
    <w:p>
      <w:r>
        <w:rPr>
          <w:b/>
        </w:rPr>
        <w:t xml:space="preserve">Caso límite: </w:t>
      </w:r>
      <w:r>
        <w:t>Los errores se corrigen mediante anulación o ajuste auditado.</w:t>
      </w:r>
    </w:p>
    <w:p>
      <w:pPr>
        <w:pStyle w:val="Heading2"/>
      </w:pPr>
      <w:r>
        <w:t>RN-09 - Anulación</w:t>
      </w:r>
    </w:p>
    <w:p>
      <w:r>
        <w:rPr>
          <w:b/>
        </w:rPr>
        <w:t xml:space="preserve">Descripción: </w:t>
      </w:r>
      <w:r>
        <w:t>Solo un administrador puede anular una operación y debe indicar motivo.</w:t>
      </w:r>
    </w:p>
    <w:p>
      <w:r>
        <w:rPr>
          <w:b/>
        </w:rPr>
        <w:t xml:space="preserve">Justificación: </w:t>
      </w:r>
      <w:r>
        <w:t>Mantiene control administrativo de excepciones.</w:t>
      </w:r>
    </w:p>
    <w:p>
      <w:r>
        <w:rPr>
          <w:b/>
        </w:rPr>
        <w:t xml:space="preserve">Ejemplo: </w:t>
      </w:r>
      <w:r>
        <w:t>El administrador anula una operación duplicada e indica “registro duplicado por error de captura”.</w:t>
      </w:r>
    </w:p>
    <w:p>
      <w:r>
        <w:rPr>
          <w:b/>
        </w:rPr>
        <w:t xml:space="preserve">Caso límite: </w:t>
      </w:r>
      <w:r>
        <w:t>La operación anulada se conserva en historial y no afecta saldo válido.</w:t>
      </w:r>
    </w:p>
    <w:p>
      <w:pPr>
        <w:pStyle w:val="Heading2"/>
      </w:pPr>
      <w:r>
        <w:t>RN-10 - Efectivo</w:t>
      </w:r>
    </w:p>
    <w:p>
      <w:r>
        <w:rPr>
          <w:b/>
        </w:rPr>
        <w:t xml:space="preserve">Descripción: </w:t>
      </w:r>
      <w:r>
        <w:t>Todo pago registrado por un vendedor queda pendiente de liquidación hasta su confirmación.</w:t>
      </w:r>
    </w:p>
    <w:p>
      <w:r>
        <w:rPr>
          <w:b/>
        </w:rPr>
        <w:t xml:space="preserve">Justificación: </w:t>
      </w:r>
      <w:r>
        <w:t>Distingue el cobro registrado del dinero recibido por el propietario.</w:t>
      </w:r>
    </w:p>
    <w:p>
      <w:r>
        <w:rPr>
          <w:b/>
        </w:rPr>
        <w:t xml:space="preserve">Ejemplo: </w:t>
      </w:r>
      <w:r>
        <w:t>Un pago registrado por vendedor queda visible como efectivo pendiente hasta el cierre.</w:t>
      </w:r>
    </w:p>
    <w:p>
      <w:r>
        <w:rPr>
          <w:b/>
        </w:rPr>
        <w:t xml:space="preserve">Caso límite: </w:t>
      </w:r>
      <w:r>
        <w:t>No puede marcarse como liquidado sin administrador y fecha de recepción.</w:t>
      </w:r>
    </w:p>
    <w:p>
      <w:pPr>
        <w:pStyle w:val="Heading2"/>
      </w:pPr>
      <w:r>
        <w:t>RN-11 - Liquidación</w:t>
      </w:r>
    </w:p>
    <w:p>
      <w:r>
        <w:rPr>
          <w:b/>
        </w:rPr>
        <w:t xml:space="preserve">Descripción: </w:t>
      </w:r>
      <w:r>
        <w:t>Una liquidación debe relacionar pagos concretos y el vendedor responsable.</w:t>
      </w:r>
    </w:p>
    <w:p>
      <w:r>
        <w:rPr>
          <w:b/>
        </w:rPr>
        <w:t xml:space="preserve">Justificación: </w:t>
      </w:r>
      <w:r>
        <w:t>Permite conciliación de efectivo.</w:t>
      </w:r>
    </w:p>
    <w:p>
      <w:r>
        <w:rPr>
          <w:b/>
        </w:rPr>
        <w:t xml:space="preserve">Ejemplo: </w:t>
      </w:r>
      <w:r>
        <w:t>Al recibir Q150, el administrador selecciona los pagos del vendedor que componen esa liquidación.</w:t>
      </w:r>
    </w:p>
    <w:p>
      <w:r>
        <w:rPr>
          <w:b/>
        </w:rPr>
        <w:t xml:space="preserve">Caso límite: </w:t>
      </w:r>
      <w:r>
        <w:t>Un mismo pago válido no puede liquidarse dos veces.</w:t>
      </w:r>
    </w:p>
    <w:p>
      <w:pPr>
        <w:pStyle w:val="Heading2"/>
      </w:pPr>
      <w:r>
        <w:t>RN-12 - Auditoría</w:t>
      </w:r>
    </w:p>
    <w:p>
      <w:r>
        <w:rPr>
          <w:b/>
        </w:rPr>
        <w:t xml:space="preserve">Descripción: </w:t>
      </w:r>
      <w:r>
        <w:t>El sistema registra creación, anulación, liquidación y accesos relevantes.</w:t>
      </w:r>
    </w:p>
    <w:p>
      <w:r>
        <w:rPr>
          <w:b/>
        </w:rPr>
        <w:t xml:space="preserve">Justificación: </w:t>
      </w:r>
      <w:r>
        <w:t>Permite investigar diferencias y dar seguimiento.</w:t>
      </w:r>
    </w:p>
    <w:p>
      <w:r>
        <w:rPr>
          <w:b/>
        </w:rPr>
        <w:t xml:space="preserve">Ejemplo: </w:t>
      </w:r>
      <w:r>
        <w:t>La bitácora muestra hora, usuario y acción cuando una liquidación es confirmada.</w:t>
      </w:r>
    </w:p>
    <w:p>
      <w:r>
        <w:rPr>
          <w:b/>
        </w:rPr>
        <w:t xml:space="preserve">Caso límite: </w:t>
      </w:r>
      <w:r>
        <w:t>La bitácora no puede ser modificada por vendedores.</w:t>
      </w:r>
    </w:p>
    <w:p>
      <w:pPr>
        <w:pStyle w:val="Heading2"/>
      </w:pPr>
      <w:r>
        <w:t>RN-13 - Verificación</w:t>
      </w:r>
    </w:p>
    <w:p>
      <w:r>
        <w:rPr>
          <w:b/>
        </w:rPr>
        <w:t xml:space="preserve">Descripción: </w:t>
      </w:r>
      <w:r>
        <w:t>La consulta mediante código o QR es de solo lectura.</w:t>
      </w:r>
    </w:p>
    <w:p>
      <w:r>
        <w:rPr>
          <w:b/>
        </w:rPr>
        <w:t xml:space="preserve">Justificación: </w:t>
      </w:r>
      <w:r>
        <w:t>Evita que un cliente altere información.</w:t>
      </w:r>
    </w:p>
    <w:p>
      <w:r>
        <w:rPr>
          <w:b/>
        </w:rPr>
        <w:t xml:space="preserve">Ejemplo: </w:t>
      </w:r>
      <w:r>
        <w:t>El cliente escanea el QR y consulta el folio sin acceder al resto del sistema.</w:t>
      </w:r>
    </w:p>
    <w:p>
      <w:r>
        <w:rPr>
          <w:b/>
        </w:rPr>
        <w:t xml:space="preserve">Caso límite: </w:t>
      </w:r>
      <w:r>
        <w:t>No muestra datos sensibles innecesarios.</w:t>
      </w:r>
    </w:p>
    <w:p>
      <w:pPr>
        <w:pStyle w:val="Heading2"/>
      </w:pPr>
      <w:r>
        <w:t>RN-14 - Datos analíticos</w:t>
      </w:r>
    </w:p>
    <w:p>
      <w:r>
        <w:rPr>
          <w:b/>
        </w:rPr>
        <w:t xml:space="preserve">Descripción: </w:t>
      </w:r>
      <w:r>
        <w:t>Las variables analíticas se calculan únicamente con operaciones válidas.</w:t>
      </w:r>
    </w:p>
    <w:p>
      <w:r>
        <w:rPr>
          <w:b/>
        </w:rPr>
        <w:t xml:space="preserve">Justificación: </w:t>
      </w:r>
      <w:r>
        <w:t>Evita entrenar análisis con datos anulados o incompletos.</w:t>
      </w:r>
    </w:p>
    <w:p>
      <w:r>
        <w:rPr>
          <w:b/>
        </w:rPr>
        <w:t xml:space="preserve">Ejemplo: </w:t>
      </w:r>
      <w:r>
        <w:t>Los datos anulados no cuentan para calcular frecuencia de compras ni indicadores futuros.</w:t>
      </w:r>
    </w:p>
    <w:p>
      <w:r>
        <w:rPr>
          <w:b/>
        </w:rPr>
        <w:t xml:space="preserve">Caso límite: </w:t>
      </w:r>
      <w:r>
        <w:t>Las predicciones reales permanecen desactivadas hasta validar historial suficiente.</w:t>
      </w:r>
    </w:p>
    <w:p>
      <w:pPr>
        <w:pStyle w:val="Heading1"/>
      </w:pPr>
      <w:r>
        <w:t>3. Control de validación</w:t>
      </w:r>
    </w:p>
    <w:p>
      <w:r>
        <w:t>Cada regla debe relacionarse con al menos un criterio de aceptación y una prueba funcional. Las reglas que afecten cálculo de saldo, anulación, constancia o liquidación son críticas y deben revisarse con el propietario antes de la construcción del MVP.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 xml:space="preserve">ERN-01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jc w:val="left"/>
    </w:pPr>
    <w:r>
      <w:rPr>
        <w:rFonts w:ascii="Calibri" w:hAnsi="Calibri"/>
        <w:color w:val="666666"/>
        <w:sz w:val="16"/>
      </w:rPr>
      <w:t>Waterline One | Especificación de Reglas de Negocio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