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7A0E89">
        <w:rPr>
          <w:rFonts w:ascii="Arial Narrow" w:hAnsi="Arial Narrow"/>
          <w:b/>
          <w:sz w:val="36"/>
          <w:szCs w:val="36"/>
        </w:rPr>
        <w:t>Mapa de Abastecimento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7A0E8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Default="00BE28B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E28B8" w:rsidRDefault="00BE28B8" w:rsidP="0039180A"/>
          <w:p w:rsidR="00BE28B8" w:rsidRPr="00D90C24" w:rsidRDefault="007A0E89" w:rsidP="000F13BE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Esta funcionalidade tem o objetivo de exibir todas as informações sintéticas referentes ao abastecimento dos produtos para determinada visão</w:t>
            </w:r>
            <w:r w:rsidR="00BE28B8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2393A" w:rsidRDefault="00C85382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entrar n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a funcionalidade de 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Mapa de </w:t>
      </w:r>
      <w:r w:rsidR="0012393A">
        <w:rPr>
          <w:rFonts w:ascii="Arial Narrow" w:hAnsi="Arial Narrow" w:cs="Arial"/>
          <w:color w:val="002060"/>
          <w:sz w:val="22"/>
          <w:szCs w:val="22"/>
        </w:rPr>
        <w:t>A</w:t>
      </w:r>
      <w:r w:rsidR="00901A79">
        <w:rPr>
          <w:rFonts w:ascii="Arial Narrow" w:hAnsi="Arial Narrow" w:cs="Arial"/>
          <w:color w:val="002060"/>
          <w:sz w:val="22"/>
          <w:szCs w:val="22"/>
        </w:rPr>
        <w:t>bastecimento</w:t>
      </w:r>
      <w:r w:rsidR="0012393A">
        <w:rPr>
          <w:rFonts w:ascii="Arial Narrow" w:hAnsi="Arial Narrow" w:cs="Arial"/>
          <w:color w:val="002060"/>
          <w:sz w:val="22"/>
          <w:szCs w:val="22"/>
        </w:rPr>
        <w:t xml:space="preserve"> tem a finalidade de informar todos os produtos planejados para realização de </w:t>
      </w:r>
      <w:proofErr w:type="spellStart"/>
      <w:r w:rsidR="0012393A">
        <w:rPr>
          <w:rFonts w:ascii="Arial Narrow" w:hAnsi="Arial Narrow" w:cs="Arial"/>
          <w:color w:val="002060"/>
          <w:sz w:val="22"/>
          <w:szCs w:val="22"/>
        </w:rPr>
        <w:t>picking</w:t>
      </w:r>
      <w:proofErr w:type="spellEnd"/>
      <w:r w:rsidR="0012393A">
        <w:rPr>
          <w:rFonts w:ascii="Arial Narrow" w:hAnsi="Arial Narrow" w:cs="Arial"/>
          <w:color w:val="002060"/>
          <w:sz w:val="22"/>
          <w:szCs w:val="22"/>
        </w:rPr>
        <w:t xml:space="preserve"> e distribuição.</w:t>
      </w:r>
    </w:p>
    <w:p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D62121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eremos a possibilidade de pesquisar por um período ou data específica, </w:t>
      </w:r>
      <w:r>
        <w:rPr>
          <w:rFonts w:ascii="Arial Narrow" w:hAnsi="Arial Narrow" w:cs="Arial"/>
          <w:color w:val="002060"/>
          <w:sz w:val="22"/>
          <w:szCs w:val="22"/>
        </w:rPr>
        <w:t>as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informações sintéticas de quantidades de produtos </w:t>
      </w:r>
      <w:r w:rsidR="00274856">
        <w:rPr>
          <w:rFonts w:ascii="Arial Narrow" w:hAnsi="Arial Narrow" w:cs="Arial"/>
          <w:color w:val="002060"/>
          <w:sz w:val="22"/>
          <w:szCs w:val="22"/>
        </w:rPr>
        <w:t>planejados para distribuição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na visão por </w:t>
      </w:r>
      <w:proofErr w:type="gramStart"/>
      <w:r w:rsidR="00901A79"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 w:rsidR="00CF39B3">
        <w:rPr>
          <w:rFonts w:ascii="Arial Narrow" w:hAnsi="Arial Narrow" w:cs="Arial"/>
          <w:color w:val="002060"/>
          <w:sz w:val="22"/>
          <w:szCs w:val="22"/>
        </w:rPr>
        <w:t xml:space="preserve">, por roteiro, por </w:t>
      </w:r>
      <w:r w:rsidR="00773ACE">
        <w:rPr>
          <w:rFonts w:ascii="Arial Narrow" w:hAnsi="Arial Narrow" w:cs="Arial"/>
          <w:color w:val="002060"/>
          <w:sz w:val="22"/>
          <w:szCs w:val="22"/>
        </w:rPr>
        <w:t>r</w:t>
      </w:r>
      <w:r w:rsidR="007A3E20">
        <w:rPr>
          <w:rFonts w:ascii="Arial Narrow" w:hAnsi="Arial Narrow" w:cs="Arial"/>
          <w:color w:val="002060"/>
          <w:sz w:val="22"/>
          <w:szCs w:val="22"/>
        </w:rPr>
        <w:t>ota</w:t>
      </w:r>
      <w:r w:rsidR="000A46F4">
        <w:rPr>
          <w:rFonts w:ascii="Arial Narrow" w:hAnsi="Arial Narrow" w:cs="Arial"/>
          <w:color w:val="002060"/>
          <w:sz w:val="22"/>
          <w:szCs w:val="22"/>
        </w:rPr>
        <w:t>,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A46F4">
        <w:rPr>
          <w:rFonts w:ascii="Arial Narrow" w:hAnsi="Arial Narrow" w:cs="Arial"/>
          <w:color w:val="002060"/>
          <w:sz w:val="22"/>
          <w:szCs w:val="22"/>
        </w:rPr>
        <w:t xml:space="preserve">por produto 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ou por </w:t>
      </w:r>
      <w:r w:rsidR="005C52E3">
        <w:rPr>
          <w:rFonts w:ascii="Arial Narrow" w:hAnsi="Arial Narrow" w:cs="Arial"/>
          <w:color w:val="002060"/>
          <w:sz w:val="22"/>
          <w:szCs w:val="22"/>
        </w:rPr>
        <w:t xml:space="preserve">uma </w:t>
      </w:r>
      <w:r w:rsidR="00901A79">
        <w:rPr>
          <w:rFonts w:ascii="Arial Narrow" w:hAnsi="Arial Narrow" w:cs="Arial"/>
          <w:color w:val="002060"/>
          <w:sz w:val="22"/>
          <w:szCs w:val="22"/>
        </w:rPr>
        <w:t>cota</w:t>
      </w:r>
      <w:r w:rsidR="005C52E3">
        <w:rPr>
          <w:rFonts w:ascii="Arial Narrow" w:hAnsi="Arial Narrow" w:cs="Arial"/>
          <w:color w:val="002060"/>
          <w:sz w:val="22"/>
          <w:szCs w:val="22"/>
        </w:rPr>
        <w:t xml:space="preserve"> especifica</w:t>
      </w:r>
      <w:r w:rsidR="00BE28B8">
        <w:rPr>
          <w:rFonts w:ascii="Arial Narrow" w:hAnsi="Arial Narrow" w:cs="Arial"/>
          <w:color w:val="002060"/>
          <w:sz w:val="22"/>
          <w:szCs w:val="22"/>
        </w:rPr>
        <w:t>.</w:t>
      </w:r>
      <w:r w:rsidR="00FB62A5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E28B8" w:rsidRDefault="00D62121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visão por Box, produtos que não tenham quantidades planejadas não devem ser exibidos na impressão, para efeito de melhor aproveitamento do espaço no papel.</w:t>
      </w:r>
    </w:p>
    <w:p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layouts de impressão serão específicos para cada tipo de pesquisa. Como segue abaixo:</w:t>
      </w:r>
    </w:p>
    <w:p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p w:rsidR="00901A79" w:rsidRDefault="00901A79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Serão exibidos também </w:t>
      </w:r>
      <w:r w:rsidR="00A407F3">
        <w:rPr>
          <w:rFonts w:ascii="Arial Narrow" w:hAnsi="Arial Narrow" w:cs="Arial"/>
          <w:color w:val="002060"/>
          <w:sz w:val="22"/>
          <w:szCs w:val="22"/>
        </w:rPr>
        <w:t xml:space="preserve">totalizadores </w:t>
      </w:r>
      <w:r w:rsidR="00DA4D23">
        <w:rPr>
          <w:rFonts w:ascii="Arial Narrow" w:hAnsi="Arial Narrow" w:cs="Arial"/>
          <w:color w:val="002060"/>
          <w:sz w:val="22"/>
          <w:szCs w:val="22"/>
        </w:rPr>
        <w:t>das quantidades dos produtos.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CA6435" w:rsidRDefault="00CA6435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código da cota </w:t>
      </w:r>
    </w:p>
    <w:p w:rsidR="00CA6435" w:rsidRDefault="00CA6435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 (se preencher a informação de cota</w:t>
      </w:r>
      <w:proofErr w:type="gramStart"/>
      <w:r>
        <w:rPr>
          <w:rFonts w:ascii="Arial Narrow" w:hAnsi="Arial Narrow"/>
        </w:rPr>
        <w:t>, serão</w:t>
      </w:r>
      <w:proofErr w:type="gramEnd"/>
      <w:r>
        <w:rPr>
          <w:rFonts w:ascii="Arial Narrow" w:hAnsi="Arial Narrow"/>
        </w:rPr>
        <w:t xml:space="preserve"> carregados as informações de Box e Rota no filtro e não exibe essas colunas no </w:t>
      </w:r>
      <w:r w:rsidR="00936F41">
        <w:rPr>
          <w:rFonts w:ascii="Arial Narrow" w:hAnsi="Arial Narrow"/>
        </w:rPr>
        <w:t>grid</w:t>
      </w:r>
      <w:r>
        <w:rPr>
          <w:rFonts w:ascii="Arial Narrow" w:hAnsi="Arial Narrow"/>
        </w:rPr>
        <w:t>)</w:t>
      </w:r>
    </w:p>
    <w:p w:rsidR="000D1910" w:rsidRDefault="000D1910" w:rsidP="00CA6435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</w:p>
    <w:p w:rsidR="000D1910" w:rsidRDefault="000D1910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do produto (ao preencher o produto no filtro, será exibido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e rota para este produto)</w:t>
      </w:r>
    </w:p>
    <w:p w:rsidR="001A5D11" w:rsidRDefault="00FB62A5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 xml:space="preserve">: combo com seleção dos possíveis </w:t>
      </w:r>
      <w:proofErr w:type="gramStart"/>
      <w:r w:rsidR="001A5D11">
        <w:rPr>
          <w:rFonts w:ascii="Arial Narrow" w:hAnsi="Arial Narrow"/>
        </w:rPr>
        <w:t>box</w:t>
      </w:r>
      <w:proofErr w:type="gramEnd"/>
      <w:r w:rsidR="001A5D11">
        <w:rPr>
          <w:rFonts w:ascii="Arial Narrow" w:hAnsi="Arial Narrow"/>
        </w:rPr>
        <w:t>, conforme cadastro.</w:t>
      </w:r>
    </w:p>
    <w:p w:rsidR="00FB62A5" w:rsidRDefault="00773ACE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  <w:r w:rsidR="001A5D11">
        <w:rPr>
          <w:rFonts w:ascii="Arial Narrow" w:hAnsi="Arial Narrow"/>
        </w:rPr>
        <w:t>: combo com seleção da</w:t>
      </w:r>
      <w:r>
        <w:rPr>
          <w:rFonts w:ascii="Arial Narrow" w:hAnsi="Arial Narrow"/>
        </w:rPr>
        <w:t>s possíveis rota</w:t>
      </w:r>
      <w:r w:rsidR="001A5D11">
        <w:rPr>
          <w:rFonts w:ascii="Arial Narrow" w:hAnsi="Arial Narrow"/>
        </w:rPr>
        <w:t>s</w:t>
      </w:r>
      <w:r w:rsidR="00FB62A5">
        <w:rPr>
          <w:rFonts w:ascii="Arial Narrow" w:hAnsi="Arial Narrow"/>
        </w:rPr>
        <w:t>, conforme cadastro d</w:t>
      </w:r>
      <w:r w:rsidR="001A5D11">
        <w:rPr>
          <w:rFonts w:ascii="Arial Narrow" w:hAnsi="Arial Narrow"/>
        </w:rPr>
        <w:t>a rota.</w:t>
      </w:r>
    </w:p>
    <w:p w:rsidR="00BD73AB" w:rsidRDefault="00BD73AB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Quebra por Cota: 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que seja e</w:t>
      </w:r>
      <w:r w:rsidR="00F04193">
        <w:rPr>
          <w:rFonts w:ascii="Arial Narrow" w:hAnsi="Arial Narrow"/>
        </w:rPr>
        <w:t xml:space="preserve">xibida a coluna da Cota no mapa, mesmo nas pesquisas por rota ou por </w:t>
      </w:r>
      <w:proofErr w:type="gramStart"/>
      <w:r w:rsidR="00F04193">
        <w:rPr>
          <w:rFonts w:ascii="Arial Narrow" w:hAnsi="Arial Narrow"/>
        </w:rPr>
        <w:t>box</w:t>
      </w:r>
      <w:proofErr w:type="gramEnd"/>
      <w:r w:rsidR="00F04193">
        <w:rPr>
          <w:rFonts w:ascii="Arial Narrow" w:hAnsi="Arial Narrow"/>
        </w:rPr>
        <w:t xml:space="preserve"> poderá ou não exibir a coluna Cota no grid. Esse </w:t>
      </w:r>
      <w:proofErr w:type="spellStart"/>
      <w:r w:rsidR="00F04193">
        <w:rPr>
          <w:rFonts w:ascii="Arial Narrow" w:hAnsi="Arial Narrow"/>
        </w:rPr>
        <w:t>checkbox</w:t>
      </w:r>
      <w:proofErr w:type="spellEnd"/>
      <w:r w:rsidR="00F04193">
        <w:rPr>
          <w:rFonts w:ascii="Arial Narrow" w:hAnsi="Arial Narrow"/>
        </w:rPr>
        <w:t xml:space="preserve"> somente terá ação nesses dois tipos de consulta.</w:t>
      </w:r>
    </w:p>
    <w:p w:rsidR="00CC2A28" w:rsidRDefault="00CC2A28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consulta: combo com os tipos de consulta: por Box, ou por Rota, a partir dessa escolha tere</w:t>
      </w:r>
      <w:r w:rsidR="00CA6435">
        <w:rPr>
          <w:rFonts w:ascii="Arial Narrow" w:hAnsi="Arial Narrow"/>
        </w:rPr>
        <w:t xml:space="preserve">mos mudança nas colunas do grid: caso seja escolha por </w:t>
      </w:r>
      <w:proofErr w:type="gramStart"/>
      <w:r w:rsidR="00CA6435">
        <w:rPr>
          <w:rFonts w:ascii="Arial Narrow" w:hAnsi="Arial Narrow"/>
        </w:rPr>
        <w:t>box</w:t>
      </w:r>
      <w:proofErr w:type="gramEnd"/>
      <w:r w:rsidR="00CA6435">
        <w:rPr>
          <w:rFonts w:ascii="Arial Narrow" w:hAnsi="Arial Narrow"/>
        </w:rPr>
        <w:t>, a rota não será exibida no grid, caso a escolha seja rota, o box não será exibido no grid.</w:t>
      </w:r>
    </w:p>
    <w:p w:rsidR="00FB62A5" w:rsidRDefault="00FB62A5" w:rsidP="00FB62A5">
      <w:pPr>
        <w:ind w:left="360"/>
        <w:rPr>
          <w:rFonts w:ascii="Arial Narrow" w:hAnsi="Arial Narrow"/>
          <w:b/>
        </w:rPr>
      </w:pPr>
    </w:p>
    <w:p w:rsidR="00BE28B8" w:rsidRDefault="00773ACE" w:rsidP="009B287E">
      <w:pPr>
        <w:ind w:left="360"/>
        <w:rPr>
          <w:rFonts w:ascii="Arial Narrow" w:hAnsi="Arial Narrow"/>
        </w:rPr>
      </w:pPr>
      <w:r w:rsidRPr="00773ACE"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da pesquisa (</w:t>
      </w:r>
      <w:proofErr w:type="gramStart"/>
      <w:r w:rsidR="009B287E">
        <w:rPr>
          <w:rFonts w:ascii="Arial Narrow" w:hAnsi="Arial Narrow"/>
        </w:rPr>
        <w:t>campos não edit</w:t>
      </w:r>
      <w:r w:rsidR="002E44AB">
        <w:rPr>
          <w:rFonts w:ascii="Arial Narrow" w:hAnsi="Arial Narrow"/>
        </w:rPr>
        <w:t>á</w:t>
      </w:r>
      <w:r w:rsidR="009B287E">
        <w:rPr>
          <w:rFonts w:ascii="Arial Narrow" w:hAnsi="Arial Narrow"/>
        </w:rPr>
        <w:t>veis</w:t>
      </w:r>
      <w:proofErr w:type="gramEnd"/>
      <w:r>
        <w:rPr>
          <w:rFonts w:ascii="Arial Narrow" w:hAnsi="Arial Narrow"/>
        </w:rPr>
        <w:t>):</w:t>
      </w:r>
    </w:p>
    <w:p w:rsidR="009B287E" w:rsidRDefault="009B287E" w:rsidP="009B287E">
      <w:pPr>
        <w:ind w:left="360"/>
        <w:rPr>
          <w:rFonts w:ascii="Arial Narrow" w:hAnsi="Arial Narrow"/>
        </w:rPr>
      </w:pPr>
    </w:p>
    <w:p w:rsidR="001A5D11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 xml:space="preserve">: </w:t>
      </w:r>
      <w:proofErr w:type="gramStart"/>
      <w:r w:rsidR="00095BD5">
        <w:rPr>
          <w:rFonts w:ascii="Arial Narrow" w:hAnsi="Arial Narrow"/>
        </w:rPr>
        <w:t>box</w:t>
      </w:r>
      <w:proofErr w:type="gramEnd"/>
      <w:r w:rsidR="00095BD5">
        <w:rPr>
          <w:rFonts w:ascii="Arial Narrow" w:hAnsi="Arial Narrow"/>
        </w:rPr>
        <w:t xml:space="preserve"> em que se encontra a rota.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Rota: rota em que estão as cotas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da cota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capa: preço unitário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planejada na data da operação.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R$: Preço capa x Reparte 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2E44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E44AB" w:rsidRDefault="002E44AB" w:rsidP="0010198B">
      <w:pPr>
        <w:ind w:left="426"/>
        <w:rPr>
          <w:rFonts w:ascii="Arial Narrow" w:hAnsi="Arial Narrow"/>
        </w:rPr>
      </w:pPr>
    </w:p>
    <w:p w:rsidR="000A46F4" w:rsidRDefault="000A46F4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resultado conforme filtro escolhido.</w:t>
      </w:r>
    </w:p>
    <w:p w:rsidR="00DE6E18" w:rsidRDefault="00DE6E18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Impressão do Mapa: Imprime o mapa de abastecimento conforme layout definido.</w:t>
      </w:r>
    </w:p>
    <w:p w:rsidR="00DE6E18" w:rsidRDefault="00DE6E18" w:rsidP="00DE6E18">
      <w:pPr>
        <w:rPr>
          <w:rFonts w:ascii="Arial Narrow" w:hAnsi="Arial Narrow"/>
        </w:rPr>
      </w:pPr>
    </w:p>
    <w:p w:rsidR="002E44AB" w:rsidRPr="00875148" w:rsidRDefault="000A46F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818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D2" w:rsidRDefault="00204AD2">
      <w:r>
        <w:separator/>
      </w:r>
    </w:p>
  </w:endnote>
  <w:endnote w:type="continuationSeparator" w:id="0">
    <w:p w:rsidR="00204AD2" w:rsidRDefault="0020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B8" w:rsidRDefault="00BE28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D62121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D62121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D2" w:rsidRDefault="00204AD2">
      <w:r>
        <w:separator/>
      </w:r>
    </w:p>
  </w:footnote>
  <w:footnote w:type="continuationSeparator" w:id="0">
    <w:p w:rsidR="00204AD2" w:rsidRDefault="00204AD2">
      <w:r>
        <w:continuationSeparator/>
      </w:r>
    </w:p>
  </w:footnote>
  <w:footnote w:id="1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4716F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5BD5"/>
    <w:rsid w:val="00096E8F"/>
    <w:rsid w:val="000A2DBE"/>
    <w:rsid w:val="000A46F4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0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393A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5D11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04AD2"/>
    <w:rsid w:val="002117FD"/>
    <w:rsid w:val="002128F9"/>
    <w:rsid w:val="00215804"/>
    <w:rsid w:val="00216BD7"/>
    <w:rsid w:val="00225398"/>
    <w:rsid w:val="002265C6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74856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4AB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047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33D"/>
    <w:rsid w:val="005C52E3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076C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282E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6F41"/>
    <w:rsid w:val="00937D22"/>
    <w:rsid w:val="00940B7D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3A2C"/>
    <w:rsid w:val="009B02FE"/>
    <w:rsid w:val="009B287E"/>
    <w:rsid w:val="009C0CFF"/>
    <w:rsid w:val="009C2CEB"/>
    <w:rsid w:val="009C5257"/>
    <w:rsid w:val="009D0684"/>
    <w:rsid w:val="009D0D3B"/>
    <w:rsid w:val="009D6BA7"/>
    <w:rsid w:val="009E75A1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73AB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481D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5382"/>
    <w:rsid w:val="00C86DCE"/>
    <w:rsid w:val="00C9056D"/>
    <w:rsid w:val="00C93B4D"/>
    <w:rsid w:val="00CA1659"/>
    <w:rsid w:val="00CA3EC1"/>
    <w:rsid w:val="00CA4A3D"/>
    <w:rsid w:val="00CA5310"/>
    <w:rsid w:val="00CA6435"/>
    <w:rsid w:val="00CB1B89"/>
    <w:rsid w:val="00CB7054"/>
    <w:rsid w:val="00CB7DB2"/>
    <w:rsid w:val="00CC186B"/>
    <w:rsid w:val="00CC2A28"/>
    <w:rsid w:val="00CC356D"/>
    <w:rsid w:val="00CC628B"/>
    <w:rsid w:val="00CD27AA"/>
    <w:rsid w:val="00CF2AC9"/>
    <w:rsid w:val="00CF360A"/>
    <w:rsid w:val="00CF39B3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2121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6E18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5316C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4193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498</TotalTime>
  <Pages>6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15</cp:revision>
  <cp:lastPrinted>2009-11-19T20:24:00Z</cp:lastPrinted>
  <dcterms:created xsi:type="dcterms:W3CDTF">2012-04-10T18:37:00Z</dcterms:created>
  <dcterms:modified xsi:type="dcterms:W3CDTF">2012-04-16T18:53:00Z</dcterms:modified>
</cp:coreProperties>
</file>