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/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/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t>COMMERCIAL INVOICE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TO: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DESIGNATIONS: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VIA: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POSITION: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COMMERCIAL INVOICE №: BPR/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ISSUED DATE: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VALIDITY: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  <w:r/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 xml:space="preserve"> / 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  <w:r/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 xml:space="preserve"> M/T TRIAL AND 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 xml:space="preserve">USD  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  <w:r/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>
              <w:t>SELLER INFORMATION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>
              <w:t>BUYER INFORMATION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NAME: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t xml:space="preserve">COMPANY NAME: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ADDRESS: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t xml:space="preserve">ATT: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Refinery :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>
              <w:t xml:space="preserve">DESIGNATIONS: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COMPANY REGISTRATION                                                                        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PASSPORT NO.: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ADDRESS: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OFFICER BIN:                                                                                                       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REPRESENTATIVE: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t xml:space="preserve">COMPANY NAME: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PASSPORT NO.: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ATT: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COMPANY REG. NO: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DESIGNATIONS:                                                                                                    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 xml:space="preserve">DESIGNATION: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TEL/FAX: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>
              <w:t>EMAILS: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E-MAIL: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  <w:r/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>
        <w:t xml:space="preserve">NON-NEGOTIABLE FOB TANK TO VESSEL (TTV) TRANSACTION PROCEDURES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1) Buyer issue ICPO containing the seller's working procedure with banking details and scanned copy of buyer's passport along with EXIT BUYER CPA Document.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2) Seller issues commercial invoice of the product in tanks at the port for Buyer and buyer's logistics sign and return commercial invoice to seller, along with ATV for the CPA.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3) Seller sends to the Buyer Tank-to-Vessel-Injection-Agreement (TTVIA) to be endorsed by both Seller Buyer and 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Buyer’s Logistics Companies.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4) Upon the returned of the endorsed TTVIA, Seller releases to the Buyer the following PPOP documents: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a) (ATV) with access code and hub number in order to verify the product b) GPS Coordinate-Tank Storage Receipt (TSR)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c) Injection Report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d) Unconditional Dip test authorization letter (DTA)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e) Authorization to sell.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f) Fresh SGS Report in Seller Tank.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[Optional]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6) Upon satisfactory result of the dip test, Seller's storage Company issues to the Buyer the Notice of Readiness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(NOR) to inject the product.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7) Buyer provides Q88 and ATI from his Logistic Company and also makes available the Vessel for the injection process to commence as scheduled.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8) The buyer pays via MT103/TT against Title Transfer Ownership on Bank to Bank, within 48 Hrs.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9) Seller pays to all intermediaries.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/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/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>
              <w:t xml:space="preserve">Density @ 15°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/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Kg/m3      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>
              <w:t>Polyciclic aromatic hydrocarbons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3675:98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C°            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>
              <w:t>Biodiesel content (5)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2719:2002                     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             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>
              <w:t>Distillation: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/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3405:2000                  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>
              <w:t xml:space="preserve">Total acidity                                                                 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116:1997                          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>
              <w:t xml:space="preserve">Ash content                                                                  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23015:1994                       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>
              <w:t xml:space="preserve">Lubricity, correct wear scar                                          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5165:1998                     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>
              <w:t xml:space="preserve">Oxidation stability                                                        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4264:1996                  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>
              <w:t xml:space="preserve">Carbon residue   (on 10% distillation residue)                                                        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3104:1996                  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>Copper strip corrosion (3 hr at 50 °C)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12937:2000                 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Water content                                                             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12662:2002                 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Total contamination                                                    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20884:2004                 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Sulfur content                                                              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3675:98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[re]</w:t>
            </w:r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Cetane number                                                             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2719:2002                     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46.0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Cetane index                                                                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3405:2000                  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% vol         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Viscosity @ 40 °C                                                          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116:1997                          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 °C                          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[re]</w:t>
            </w:r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C.F.P.P. (summer) (3)                                                        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23015:1994                       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 °C                          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C.F.P.P. (winter) (3)                                                                                                        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5165:1998                     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 xml:space="preserve"> °C                          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CLOUD Point (summer)                                                  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4264:1996                  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ndex</w:t>
            </w:r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>
              <w:t xml:space="preserve">CLOUD Point (winter)                                                                                                     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>
              <w:t xml:space="preserve">EN ISO 3104:1996                  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% weigh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>
        <w:t>AUTHORIZED SIGNATORIES: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William Fletcher II                      Designation: Director</w:t>
        <w:br/>
        <w:t>Company: Hernandez LLC Shipping                            Company: Hernandez LLC Shipping</w:t>
      </w:r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/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Donna Lewis</w:t>
        <w:br/>
        <w:t xml:space="preserve">Designation: </w:t>
        <w:br/>
        <w:t xml:space="preserve">                                                                                                                                 Company: </w:t>
        <w:br/>
        <w:t xml:space="preserve">                                                                                                                              Signature / Seal: 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