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2025-02-13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7751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2025-09-25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2026-07-07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1641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9678906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China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MSC Magnifica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E646PB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 Indian Ocean Glory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299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NYK Voyager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 Overseas Container Line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Hamburg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66824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155789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63791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269456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B&amp;W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2818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13.7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Teekay Corporation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commercial@goldenocean.no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Gener8 Maritime Inc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REG-929997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741 Shipping Center, Port Area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operations@maersk.com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Heavy Fuel Oil (HFO)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ASTM D975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Barcelona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Bremen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Tanjung Pelepas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MT Mediterranean Star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863.8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0.156%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65°C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-6°C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54.3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2522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0.059%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0.011%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2025-02-13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1641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