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US Patent 2</w:t>
      </w:r>
    </w:p>
    <w:p>
      <w:pPr>
        <w:spacing w:before="0" w:after="120" w:line="240"/>
        <w:ind w:right="0" w:left="0" w:firstLine="0"/>
        <w:jc w:val="center"/>
        <w:rPr>
          <w:rFonts w:ascii="Arial" w:hAnsi="Arial" w:cs="Arial" w:eastAsia="Arial"/>
          <w:b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Methods and Apparatus for Organizing, Filtering, Visualizing and Extracting Image and Video Synchronized to Specific Data for Training and Testing Algorithms and Object Detection and Recognition Strategies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Title: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 Methods and Apparatus for Organizing, Filtering, Visualizing and Extracting Image and Video Synchronized to Specific Data for Training and Testing Algorithms and Object Detection and Recognition Strategies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Authors: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 Jean Douglas Carvalho 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–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 GSA/UTFPR-PG - jeanbrandaocarvalho@hotmail.com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ab/>
        <w:t xml:space="preserve">   Hugo Taciro Kenji - GSA/UTFPR-PG - hugokenji@alunos.utfpr.edu.br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4377" w:leader="none"/>
        </w:tabs>
        <w:spacing w:before="0" w:after="12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ab/>
        <w:t xml:space="preserve">   </w:t>
      </w:r>
      <w:r>
        <w:rPr>
          <w:rFonts w:ascii="Arial" w:hAnsi="Arial" w:cs="Arial" w:eastAsia="Arial"/>
          <w:color w:val="FF0000"/>
          <w:spacing w:val="0"/>
          <w:position w:val="0"/>
          <w:sz w:val="20"/>
          <w:shd w:fill="FFFFFF" w:val="clear"/>
        </w:rPr>
        <w:t xml:space="preserve">TBD </w:t>
      </w:r>
      <w:r>
        <w:rPr>
          <w:rFonts w:ascii="Arial" w:hAnsi="Arial" w:cs="Arial" w:eastAsia="Arial"/>
          <w:color w:val="FF0000"/>
          <w:spacing w:val="0"/>
          <w:position w:val="0"/>
          <w:sz w:val="20"/>
          <w:shd w:fill="FFFFFF" w:val="clear"/>
        </w:rPr>
        <w:t xml:space="preserve">–</w:t>
      </w:r>
      <w:r>
        <w:rPr>
          <w:rFonts w:ascii="Arial" w:hAnsi="Arial" w:cs="Arial" w:eastAsia="Arial"/>
          <w:color w:val="FF0000"/>
          <w:spacing w:val="0"/>
          <w:position w:val="0"/>
          <w:sz w:val="20"/>
          <w:shd w:fill="FFFFFF" w:val="clear"/>
        </w:rPr>
        <w:t xml:space="preserve"> GSA/UTFPR-PG </w:t>
        <w:tab/>
      </w:r>
    </w:p>
    <w:p>
      <w:pPr>
        <w:spacing w:before="0" w:after="12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   Max Mauro Dias Santos 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–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 GSA/UTFPR-PG 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–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 maxsantos@utfpr.edu.br</w:t>
        <w:tab/>
        <w:t xml:space="preserve">  </w:t>
      </w:r>
    </w:p>
    <w:p>
      <w:pPr>
        <w:spacing w:before="0" w:after="12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   Lucas Reksua Ferreira 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–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 Renault - lucas.reksua@renault.com</w:t>
      </w:r>
    </w:p>
    <w:p>
      <w:pPr>
        <w:spacing w:before="0" w:after="12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   Igor Woitexen 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–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 Renault - igor.woitexen@renault.com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Qual problema o trouxe a esta nova solução técnica?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Com o avanço de tecnologias de IA, treinamento de rede, virtualização e testes dinâmicos, o software CARCARÁ tem o propósito de refinar as buscas demandadas por desenvolvedores e setores de validação, possibilitando a filtragem de dados específicos de acordo com a aplicação a ser utilizada.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Qual problema técnico você quer resolver?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Desenvolver uma ferramenta de visualização, consulta e extração a partir de um database com características específicas de medições de sensores (GPS, IMU, Radar, Cameras, etc), classificações de clima, período, tráfego, ambiente, tipo de rodovia e dados de comunicação tipo CAN. O Software CARCAR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propõem estratégias mais avançadas no treinamento e teste de algoritmos e estratégias de detecção e reconhecimento de objetos e ações de controle com diferentes cenários. 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Recomendado a sua aplicação na utilização de técnicas para virtualização e realidade virtual a serem aplicadas em simuladores estáticos e dinâmicos veiculares. Além disto, fornece dados para serem utilizados em ferramentas de ground through para algoritmos e estratégias de inteligência artificial.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PESQUISA DO ANTERIOR DA TÉCNICA E ESTADO DA TÉCNICA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Qual é a arte anterior?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Não conseguimos encontrar ferramentas de organização, consultas, vizualização e extração com este nível de detalhamento.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Qual é (ou são) a(s) desvantagem(s) do estado da técnica (o que queremos melhorar)?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Atualmente, o cenário de data acquisition aplicado ao setor automotivo geram grandes quantidades de dados, dificultando o compartilhamento e a manipulação para aplicações especificas a serem desenvolvidas, portanto, o Carcará tem o propósito de tratar os dados de forma dinâmica otimizando tempo e custos para projetistas e desenvolvedores.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Essa ferramenta facilitara enxergar novas possibilidades, como sistemas de dupla validação para sensores e outros sistemas que necessitem de dados de aquisições organizados e sincronizados por tempo.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DESCRIÇÃO/FUNCIONAMENTO DE SUA INVENÇÃO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 ferramenta de software Carcara (C#) e database (MongoDB) integradas, tem como entrada informações provenientes de sensores como câmeras, radar, IMU, GPS e rede comunicação de dados do veículo em que faz o mapeamento dinâmico do ambiente em tempo real e também um LOG de classificações com informações de clima e estrada. Os dados organizados na forma de um dataset, são armazenados em um banco de dados e através de algoritmos de sincronização, consultas dinâmicas e extração, é possível ter trechos de dados específicos de acordo com características desejadas. Um exemplo seria, considerar a condição “chovendo" como fator relevante na busca, ou buscar apenas trechos com "curvas para direita" e "ruas urbanas", descartando o filtro chuva (clima). Desta forma, o projetista pode usar a técnica de ground through para label de objetos e atores de forma a treinar algoritmos de IA. Além disto, pode ser usado para virtualização do ambiente a fim de gerar cenários customizados de testes e aplicação em simuladores estáticos e dinâmicos de veículos.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VANTAGENS DA SUA INVENÇÃO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Que outras implementações de sua invenção foram estudadas?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Foram estudadas e analisadas outras ferramentas e soluções, o atual cenário consiste em aplicações a partir de datasets gerados, o Carcará propõem gerar datasets dinâmicos que possibilitam o uso de diferentes aplicações e demandas.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As funcionalidades e recursos disponíveis nesta solução, melhoram o desempenho para desenvolvedores de funções de assistência ao condutor e condução autônoma.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Organizar e padronizar os dados de aquisições, é uma etapa fundamental para o desenvolvimento de funções mais complexas, auxiliara na inclusão de novos tipos de dados e alteração em existentes.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Por que não foram aceitos?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Não foi submetida ainda para avaliação.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Quais são as outras aplicações possíveis, inclusive não automotivas?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Sistemas aeronáuticos, aeroespaciais, navais, militares e virtualização de cidades.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Qualuquer aplicação que necessite de diferentes tipos de dados sincronizados, que poderão ser filtrados.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Patentes Relacionadas (5 US Patents)</w:t>
      </w:r>
    </w:p>
    <w:p>
      <w:pPr>
        <w:numPr>
          <w:ilvl w:val="0"/>
          <w:numId w:val="22"/>
        </w:numPr>
        <w:spacing w:before="0" w:after="160" w:line="259"/>
        <w:ind w:right="0" w:left="357" w:hanging="357"/>
        <w:jc w:val="both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Patente 1</w:t>
      </w:r>
    </w:p>
    <w:p>
      <w:pPr>
        <w:numPr>
          <w:ilvl w:val="0"/>
          <w:numId w:val="22"/>
        </w:numPr>
        <w:spacing w:before="0" w:after="160" w:line="259"/>
        <w:ind w:right="0" w:left="357" w:hanging="357"/>
        <w:jc w:val="both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Patente 2</w:t>
      </w:r>
    </w:p>
    <w:p>
      <w:pPr>
        <w:numPr>
          <w:ilvl w:val="0"/>
          <w:numId w:val="22"/>
        </w:numPr>
        <w:spacing w:before="0" w:after="160" w:line="259"/>
        <w:ind w:right="0" w:left="357" w:hanging="357"/>
        <w:jc w:val="both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Patente 3</w:t>
      </w:r>
    </w:p>
    <w:p>
      <w:pPr>
        <w:numPr>
          <w:ilvl w:val="0"/>
          <w:numId w:val="22"/>
        </w:numPr>
        <w:spacing w:before="0" w:after="160" w:line="259"/>
        <w:ind w:right="0" w:left="357" w:hanging="357"/>
        <w:jc w:val="both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Patente 4</w:t>
      </w:r>
    </w:p>
    <w:p>
      <w:pPr>
        <w:numPr>
          <w:ilvl w:val="0"/>
          <w:numId w:val="22"/>
        </w:numPr>
        <w:spacing w:before="0" w:after="160" w:line="259"/>
        <w:ind w:right="0" w:left="357" w:hanging="357"/>
        <w:jc w:val="both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Patente 5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