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gof1 — GoF Pattern Detector with Active Inference</w:t>
      </w:r>
    </w:p>
    <w:p>
      <w:pPr/>
      <w:r>
        <w:t>Benchmark comparing two modes of GoF class diagram generation:</w:t>
      </w:r>
    </w:p>
    <w:p>
      <w:pPr>
        <w:pStyle w:val="ListBullet"/>
      </w:pPr>
      <w:r/>
      <w:r>
        <w:rPr>
          <w:b/>
        </w:rPr>
        <w:t>LLM_ONLY</w:t>
      </w:r>
      <w:r>
        <w:t>: the LLM receives the raw prompt and generates JSON directly</w:t>
      </w:r>
    </w:p>
    <w:p>
      <w:pPr>
        <w:pStyle w:val="ListBullet"/>
      </w:pPr>
      <w:r/>
      <w:r>
        <w:rPr>
          <w:b/>
        </w:rPr>
        <w:t>LLM_AI</w:t>
      </w:r>
      <w:r>
        <w:t>: an Active Inference agent detects the pattern and enriches the prompt before the LLM call</w:t>
      </w:r>
    </w:p>
    <w:p>
      <w:pPr/>
      <w:r>
        <w:t xml:space="preserve">Hypothesis to validate: </w:t>
      </w:r>
      <w:r>
        <w:rPr>
          <w:b/>
        </w:rPr>
        <w:t>(Φᵢ/E)_AI ≥ (Φᵢ/E)_LLM</w:t>
      </w:r>
      <w:r>
        <w:t xml:space="preserve"> and </w:t>
      </w:r>
      <w:r>
        <w:rPr>
          <w:b/>
        </w:rPr>
        <w:t>Rᵍ &gt; 0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Theoretical Framework (CIITR)</w:t>
      </w:r>
    </w:p>
    <w:p>
      <w:pPr/>
      <w:r>
        <w:t>Comprehension is defined as:</w:t>
      </w:r>
    </w:p>
    <w:p>
      <w:pPr/>
      <w:r/>
      <w:r>
        <w:rPr>
          <w:b/>
        </w:rPr>
        <w:t>Cᵢ = Φᵢ × Rᵍ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Φᵢ</w:t>
            </w:r>
            <w:r/>
          </w:p>
        </w:tc>
        <w:tc>
          <w:tcPr>
            <w:tcW w:type="dxa" w:w="4392"/>
          </w:tcPr>
          <w:p>
            <w:r/>
            <w:r>
              <w:t>Structural integration — coherence of the generated diagram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b/>
              </w:rPr>
              <w:t>Rᵍ</w:t>
            </w:r>
            <w:r/>
          </w:p>
        </w:tc>
        <w:tc>
          <w:tcPr>
            <w:tcW w:type="dxa" w:w="4392"/>
            <w:shd w:val="clear" w:color="auto" w:fill="DEEAF1"/>
          </w:tcPr>
          <w:p>
            <w:r/>
            <w:r>
              <w:t>Rhythmic grounding — recursive belief update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CPJ</w:t>
            </w:r>
            <w:r/>
          </w:p>
        </w:tc>
        <w:tc>
          <w:tcPr>
            <w:tcW w:type="dxa" w:w="4392"/>
          </w:tcPr>
          <w:p>
            <w:r/>
            <w:r>
              <w:t>Comprehension per Joule = Cᵢ / energy (epistemic efficiency)</w:t>
            </w:r>
          </w:p>
        </w:tc>
      </w:tr>
    </w:tbl>
    <w:p/>
    <w:p>
      <w:pPr/>
      <w:r>
        <w:t>Link to Friston:</w:t>
      </w:r>
    </w:p>
    <w:p>
      <w:pPr>
        <w:pStyle w:val="ListBullet"/>
      </w:pPr>
      <w:r/>
      <w:r>
        <w:rPr>
          <w:b/>
        </w:rPr>
        <w:t>LLM alone → Rᵍ = 0</w:t>
      </w:r>
      <w:r>
        <w:t>: frozen weights, no update during inference</w:t>
      </w:r>
    </w:p>
    <w:p>
      <w:pPr>
        <w:pStyle w:val="ListBullet"/>
      </w:pPr>
      <w:r/>
      <w:r>
        <w:rPr>
          <w:b/>
        </w:rPr>
        <w:t>Active Inference agent → Rᵍ &gt; 0</w:t>
      </w:r>
      <w:r>
        <w:t>: VFE minimisation, beliefs updated at each observation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Project Architecture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gof1/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├── agent_ai/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└── gof_ai_agent.py     # Active Inference agent (matrices A 32×23, B 23×23)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├── agent_llm/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└── llm.py              # LLM calls — local (llama3.1:8b) or remote (devstral-small-2:24b)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├── gof/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├── generator.py        # LLM prompt builder (with/without AI context)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├── metamodel.py        # JSON validation + PlantUML translation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└── schema.py           # Canonical schemas for all 23 GoF patterns (min_classes, rel_types, key_methods)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├── metrics/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└── export.py           # CSV export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├── benchmark_gof.py        # Main pipeline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└── sessions_gof.yaml       # Test sessions (GOF-001 to GOF-007)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>Pipeline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objective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├─── LLM_ONLY ──────────────────────────────────────────────────┐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│     raw prompt → LLM → JSON → validate → PlantUML → CPJ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│                                            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└─── LLM_AI ──────────────────────────────────────────────────── ┤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   keywords → AI agent → enriched context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        → enriched prompt → LLM → JSON → validate → PlantUML → CPJ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                                          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                                                        CSV export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>Active Inference Agent</w:t>
      </w:r>
    </w:p>
    <w:p>
      <w:pPr/>
      <w:r>
        <w:t>Implemented in [agent_ai/gof_ai_agent.py](agent_ai/gof_ai_agent.py).</w:t>
      </w:r>
    </w:p>
    <w:p>
      <w:pPr/>
      <w:r/>
      <w:r>
        <w:rPr>
          <w:b/>
        </w:rPr>
        <w:t>Generative model matrices: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Matrix</w:t>
            </w:r>
          </w:p>
        </w:tc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Dimensions</w:t>
            </w:r>
          </w:p>
        </w:tc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_A</w:t>
            </w:r>
            <w:r/>
          </w:p>
        </w:tc>
        <w:tc>
          <w:tcPr>
            <w:tcW w:type="dxa" w:w="2196"/>
          </w:tcPr>
          <w:p>
            <w:r/>
            <w:r>
              <w:t>32 × 23</w:t>
            </w:r>
          </w:p>
        </w:tc>
        <w:tc>
          <w:tcPr>
            <w:tcW w:type="dxa" w:w="2196"/>
          </w:tcPr>
          <w:p>
            <w:r/>
            <w:r>
              <w:t>P(keyword \</w:t>
            </w:r>
          </w:p>
        </w:tc>
        <w:tc>
          <w:tcPr>
            <w:tcW w:type="dxa" w:w="2196"/>
          </w:tcPr>
          <w:p>
            <w:r/>
            <w:r>
              <w:t>pattern) — likelihood, columns normalised to 1</w:t>
            </w:r>
          </w:p>
        </w:tc>
      </w:tr>
      <w:tr>
        <w:tc>
          <w:tcPr>
            <w:tcW w:type="dxa" w:w="2196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_B</w:t>
            </w:r>
            <w:r/>
          </w:p>
        </w:tc>
        <w:tc>
          <w:tcPr>
            <w:tcW w:type="dxa" w:w="2196"/>
            <w:shd w:val="clear" w:color="auto" w:fill="DEEAF1"/>
          </w:tcPr>
          <w:p>
            <w:r/>
            <w:r>
              <w:t>23 × 23</w:t>
            </w:r>
          </w:p>
        </w:tc>
        <w:tc>
          <w:tcPr>
            <w:tcW w:type="dxa" w:w="2196"/>
            <w:shd w:val="clear" w:color="auto" w:fill="DEEAF1"/>
          </w:tcPr>
          <w:p>
            <w:r/>
            <w:r>
              <w:t>P(next pattern \</w:t>
            </w:r>
          </w:p>
        </w:tc>
        <w:tc>
          <w:tcPr>
            <w:tcW w:type="dxa" w:w="2196"/>
            <w:shd w:val="clear" w:color="auto" w:fill="DEEAF1"/>
          </w:tcPr>
          <w:p>
            <w:r/>
            <w:r>
              <w:t>current pattern) — stay=0.85</w:t>
            </w:r>
          </w:p>
        </w:tc>
      </w:tr>
      <w:tr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_posterior</w:t>
            </w:r>
            <w:r/>
          </w:p>
        </w:tc>
        <w:tc>
          <w:tcPr>
            <w:tcW w:type="dxa" w:w="2196"/>
          </w:tcPr>
          <w:p>
            <w:r/>
            <w:r>
              <w:t>23</w:t>
            </w:r>
          </w:p>
        </w:tc>
        <w:tc>
          <w:tcPr>
            <w:tcW w:type="dxa" w:w="2196"/>
          </w:tcPr>
          <w:p>
            <w:r/>
            <w:r>
              <w:t>Q(s) — current belief over active pattern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_prior</w:t>
            </w:r>
            <w:r/>
          </w:p>
        </w:tc>
        <w:tc>
          <w:tcPr>
            <w:tcW w:type="dxa" w:w="2196"/>
            <w:shd w:val="clear" w:color="auto" w:fill="DEEAF1"/>
          </w:tcPr>
          <w:p>
            <w:r/>
            <w:r>
              <w:t>23</w:t>
            </w:r>
          </w:p>
        </w:tc>
        <w:tc>
          <w:tcPr>
            <w:tcW w:type="dxa" w:w="2196"/>
            <w:shd w:val="clear" w:color="auto" w:fill="DEEAF1"/>
          </w:tcPr>
          <w:p>
            <w:r/>
            <w:r>
              <w:t>P(s) — predictive prior for next observation</w:t>
            </w:r>
          </w:p>
        </w:tc>
        <w:tc>
          <w:tcPr>
            <w:tcW w:type="dxa" w:w="2196"/>
          </w:tcPr>
          <w:p/>
        </w:tc>
      </w:tr>
    </w:tbl>
    <w:p/>
    <w:p>
      <w:pPr/>
      <w:r/>
      <w:r>
        <w:rPr>
          <w:b/>
        </w:rPr>
        <w:t>Bayesian update</w:t>
      </w:r>
      <w:r>
        <w:t xml:space="preserve"> at each </w:t>
      </w:r>
      <w:r>
        <w:rPr>
          <w:rFonts w:ascii="Courier New" w:hAnsi="Courier New"/>
          <w:sz w:val="18"/>
        </w:rPr>
        <w:t>observe_keyword(kw)</w:t>
      </w:r>
      <w:r>
        <w:t>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likelihood = _A[kw_idx, :]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unnorm     = likelihood * prior        # P(o|s) · P(s)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evidence   = unnorm.sum()              # P(o) — marginal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surprise   = -log(evidence)           # simplified VFE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posterior  = unnorm / evidence         # Bayes rule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prior      = _B @ posterior            # predictive prior t+1</w:t>
      </w:r>
    </w:p>
    <w:p/>
    <w:p>
      <w:pPr/>
      <w:r/>
      <w:r>
        <w:rPr>
          <w:b/>
        </w:rPr>
        <w:t>23 supported GoF patterns:</w:t>
      </w:r>
      <w:r>
        <w:t xml:space="preserve"> Singleton, FactoryMethod, AbstractFactory, Builder, Prototype, Adapter, Bridge, Composite, Decorator, Facade, Flyweight, Proxy, ChainOfResponsibility, Command, Interpreter, Iterator, Mediator, Memento, Observer, State, Strategy, TemplateMethod, Visitor</w:t>
      </w:r>
    </w:p>
    <w:p>
      <w:pPr/>
      <w:r/>
      <w:r>
        <w:rPr>
          <w:b/>
        </w:rPr>
        <w:t>32 recognised keywords:</w:t>
      </w:r>
      <w:r>
        <w:t xml:space="preserve"> unique, single, global, instance, factory, build, step, clone, copy, adapt, convert, incompatible, decorate, wrap, proxy, facade, simplify, tree, leaf, share, notify, subscribe, execute, undo, visit, iterate, chain, handler, template, skeleton, snapshot, grammar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JSON Format Produced by the LLM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"pattern": "Singleton",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"patterns": ["PatternA", "PatternB"],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"classes": [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"id": "uniqueId",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"name": "ClassName",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"type": "class | abstract | interface",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"attributes": ["- name: Type"],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"methods": ["+ method(): ReturnType"]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],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"relationships": [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"type": "inheritance | implementation | association | dependency | composition | aggregation",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"sourceId": "...",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"targetId": "...",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"label": "optional"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]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}</w:t>
      </w:r>
    </w:p>
    <w:p/>
    <w:p>
      <w:pPr/>
      <w:r>
        <w:t xml:space="preserve">Generated PlantUML arrows: </w:t>
      </w:r>
      <w:r>
        <w:rPr>
          <w:rFonts w:ascii="Courier New" w:hAnsi="Courier New"/>
          <w:sz w:val="18"/>
        </w:rPr>
        <w:t>--|&gt;</w:t>
      </w:r>
      <w:r>
        <w:t xml:space="preserve"> inheritance · </w:t>
      </w:r>
      <w:r>
        <w:rPr>
          <w:rFonts w:ascii="Courier New" w:hAnsi="Courier New"/>
          <w:sz w:val="18"/>
        </w:rPr>
        <w:t>..|&gt;</w:t>
      </w:r>
      <w:r>
        <w:t xml:space="preserve"> implementation · </w:t>
      </w:r>
      <w:r>
        <w:rPr>
          <w:rFonts w:ascii="Courier New" w:hAnsi="Courier New"/>
          <w:sz w:val="18"/>
        </w:rPr>
        <w:t>--&gt;</w:t>
      </w:r>
      <w:r>
        <w:t xml:space="preserve"> association · </w:t>
      </w:r>
      <w:r>
        <w:rPr>
          <w:rFonts w:ascii="Courier New" w:hAnsi="Courier New"/>
          <w:sz w:val="18"/>
        </w:rPr>
        <w:t>..&gt;</w:t>
      </w:r>
      <w:r>
        <w:t xml:space="preserve"> dependency · </w:t>
      </w:r>
      <w:r>
        <w:rPr>
          <w:rFonts w:ascii="Courier New" w:hAnsi="Courier New"/>
          <w:sz w:val="18"/>
        </w:rPr>
        <w:t>*--&gt;</w:t>
      </w:r>
      <w:r>
        <w:t xml:space="preserve"> composition · </w:t>
      </w:r>
      <w:r>
        <w:rPr>
          <w:rFonts w:ascii="Courier New" w:hAnsi="Courier New"/>
          <w:sz w:val="18"/>
        </w:rPr>
        <w:t>o--&gt;</w:t>
      </w:r>
      <w:r>
        <w:t xml:space="preserve"> aggregation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Test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Target Pattern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928"/>
          </w:tcPr>
          <w:p>
            <w:r/>
            <w:r>
              <w:t>GOF-001</w:t>
            </w:r>
          </w:p>
        </w:tc>
        <w:tc>
          <w:tcPr>
            <w:tcW w:type="dxa" w:w="2928"/>
          </w:tcPr>
          <w:p>
            <w:r/>
            <w:r>
              <w:t>Singleton</w:t>
            </w:r>
          </w:p>
        </w:tc>
        <w:tc>
          <w:tcPr>
            <w:tcW w:type="dxa" w:w="2928"/>
          </w:tcPr>
          <w:p>
            <w:r/>
            <w:r>
              <w:t>Logger with single instance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GOF-002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Adapter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Payment interface adapter</w:t>
            </w:r>
          </w:p>
        </w:tc>
      </w:tr>
      <w:tr>
        <w:tc>
          <w:tcPr>
            <w:tcW w:type="dxa" w:w="2928"/>
          </w:tcPr>
          <w:p>
            <w:r/>
            <w:r>
              <w:t>GOF-003</w:t>
            </w:r>
          </w:p>
        </w:tc>
        <w:tc>
          <w:tcPr>
            <w:tcW w:type="dxa" w:w="2928"/>
          </w:tcPr>
          <w:p>
            <w:r/>
            <w:r>
              <w:t>Observer</w:t>
            </w:r>
          </w:p>
        </w:tc>
        <w:tc>
          <w:tcPr>
            <w:tcW w:type="dxa" w:w="2928"/>
          </w:tcPr>
          <w:p>
            <w:r/>
            <w:r>
              <w:t>Notification/subscription system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GOF-004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Builder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Fluent SQL query builder</w:t>
            </w:r>
          </w:p>
        </w:tc>
      </w:tr>
      <w:tr>
        <w:tc>
          <w:tcPr>
            <w:tcW w:type="dxa" w:w="2928"/>
          </w:tcPr>
          <w:p>
            <w:r/>
            <w:r>
              <w:t>GOF-005</w:t>
            </w:r>
          </w:p>
        </w:tc>
        <w:tc>
          <w:tcPr>
            <w:tcW w:type="dxa" w:w="2928"/>
          </w:tcPr>
          <w:p>
            <w:r/>
            <w:r>
              <w:t>Memento</w:t>
            </w:r>
          </w:p>
        </w:tc>
        <w:tc>
          <w:tcPr>
            <w:tcW w:type="dxa" w:w="2928"/>
          </w:tcPr>
          <w:p>
            <w:r/>
            <w:r>
              <w:t>Document snapshots for undo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GOF-006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Memento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Same as GOF-005 (reference run)</w:t>
            </w:r>
          </w:p>
        </w:tc>
      </w:tr>
      <w:tr>
        <w:tc>
          <w:tcPr>
            <w:tcW w:type="dxa" w:w="2928"/>
          </w:tcPr>
          <w:p>
            <w:r/>
            <w:r>
              <w:t>GOF-007</w:t>
            </w:r>
          </w:p>
        </w:tc>
        <w:tc>
          <w:tcPr>
            <w:tcW w:type="dxa" w:w="2928"/>
          </w:tcPr>
          <w:p>
            <w:r/>
            <w:r>
              <w:t>Memento + Observer</w:t>
            </w:r>
          </w:p>
        </w:tc>
        <w:tc>
          <w:tcPr>
            <w:tcW w:type="dxa" w:w="2928"/>
          </w:tcPr>
          <w:p>
            <w:r/>
            <w:r>
              <w:t>Text editor — implicit multi-pattern objective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GOF-008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Composite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File system domain model (files, folders, links)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Exported Results (CSV)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92"/>
          </w:tcPr>
          <w:p>
            <w:r/>
            <w:r>
              <w:t>Session</w:t>
            </w:r>
          </w:p>
        </w:tc>
        <w:tc>
          <w:tcPr>
            <w:tcW w:type="dxa" w:w="4392"/>
          </w:tcPr>
          <w:p>
            <w:r/>
            <w:r>
              <w:t>Session identifier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t>Mode</w:t>
            </w:r>
          </w:p>
        </w:tc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LLM_ONLY</w:t>
            </w:r>
            <w:r>
              <w:t xml:space="preserve"> or </w:t>
            </w:r>
            <w:r>
              <w:rPr>
                <w:rFonts w:ascii="Courier New" w:hAnsi="Courier New"/>
                <w:sz w:val="17"/>
              </w:rPr>
              <w:t>LLM_AI</w:t>
            </w:r>
            <w:r/>
          </w:p>
        </w:tc>
      </w:tr>
      <w:tr>
        <w:tc>
          <w:tcPr>
            <w:tcW w:type="dxa" w:w="4392"/>
          </w:tcPr>
          <w:p>
            <w:r/>
            <w:r>
              <w:t>Iteration</w:t>
            </w:r>
          </w:p>
        </w:tc>
        <w:tc>
          <w:tcPr>
            <w:tcW w:type="dxa" w:w="4392"/>
          </w:tcPr>
          <w:p>
            <w:r/>
            <w:r>
              <w:t>Iteration number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t>Status</w:t>
            </w:r>
          </w:p>
        </w:tc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WARMUP</w:t>
            </w:r>
            <w:r>
              <w:t xml:space="preserve"> · </w:t>
            </w:r>
            <w:r>
              <w:rPr>
                <w:rFonts w:ascii="Courier New" w:hAnsi="Courier New"/>
                <w:sz w:val="17"/>
              </w:rPr>
              <w:t>ACCEPTED</w:t>
            </w:r>
            <w:r>
              <w:t xml:space="preserve"> · </w:t>
            </w:r>
            <w:r>
              <w:rPr>
                <w:rFonts w:ascii="Courier New" w:hAnsi="Courier New"/>
                <w:sz w:val="17"/>
              </w:rPr>
              <w:t>REJECTED</w:t>
            </w:r>
            <w:r/>
          </w:p>
        </w:tc>
      </w:tr>
      <w:tr>
        <w:tc>
          <w:tcPr>
            <w:tcW w:type="dxa" w:w="4392"/>
          </w:tcPr>
          <w:p>
            <w:r/>
            <w:r>
              <w:t>Energy_J</w:t>
            </w:r>
          </w:p>
        </w:tc>
        <w:tc>
          <w:tcPr>
            <w:tcW w:type="dxa" w:w="4392"/>
          </w:tcPr>
          <w:p>
            <w:r/>
            <w:r>
              <w:t>Energy consumed (joules, CPU_WATTS=28)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t>Comprehension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t>Φᵢ = n_classes + 2 × n_relationships — unbounded structural integration score</w:t>
            </w:r>
          </w:p>
        </w:tc>
      </w:tr>
      <w:tr>
        <w:tc>
          <w:tcPr>
            <w:tcW w:type="dxa" w:w="4392"/>
          </w:tcPr>
          <w:p>
            <w:r/>
            <w:r>
              <w:t>Phi_E</w:t>
            </w:r>
          </w:p>
        </w:tc>
        <w:tc>
          <w:tcPr>
            <w:tcW w:type="dxa" w:w="4392"/>
          </w:tcPr>
          <w:p>
            <w:r/>
            <w:r/>
            <w:r>
              <w:rPr>
                <w:b/>
              </w:rPr>
              <w:t>Primary metric</w:t>
            </w:r>
            <w:r>
              <w:t xml:space="preserve"> — Φᵢ / Energy_J (structural quality per joule)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t>CPJ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t>Φᵢ × Rg / Energy_J — logged for reference only; always 0 in LLM_ONLY (Rg=0 by definition)</w:t>
            </w:r>
          </w:p>
        </w:tc>
      </w:tr>
      <w:tr>
        <w:tc>
          <w:tcPr>
            <w:tcW w:type="dxa" w:w="4392"/>
          </w:tcPr>
          <w:p>
            <w:r/>
            <w:r>
              <w:t>Rg</w:t>
            </w:r>
          </w:p>
        </w:tc>
        <w:tc>
          <w:tcPr>
            <w:tcW w:type="dxa" w:w="4392"/>
          </w:tcPr>
          <w:p>
            <w:r/>
            <w:r>
              <w:t>Mean surprise −log P(o) — 0 in LLM_ONLY, &gt; 0 validates belief update in LLM_AI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t>Pattern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t xml:space="preserve">Pattern produced by the LLM (e.g. </w:t>
            </w:r>
            <w:r>
              <w:rPr>
                <w:rFonts w:ascii="Courier New" w:hAnsi="Courier New"/>
                <w:sz w:val="17"/>
              </w:rPr>
              <w:t>Memento+Observer</w:t>
            </w:r>
            <w:r>
              <w:t>)</w:t>
            </w:r>
          </w:p>
        </w:tc>
      </w:tr>
      <w:tr>
        <w:tc>
          <w:tcPr>
            <w:tcW w:type="dxa" w:w="4392"/>
          </w:tcPr>
          <w:p>
            <w:r/>
            <w:r>
              <w:t>Error</w:t>
            </w:r>
          </w:p>
        </w:tc>
        <w:tc>
          <w:tcPr>
            <w:tcW w:type="dxa" w:w="4392"/>
          </w:tcPr>
          <w:p>
            <w:r/>
            <w:r>
              <w:t>Error message if REJECTED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LLM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Energy constant</w:t>
            </w:r>
          </w:p>
        </w:tc>
      </w:tr>
      <w:tr>
        <w:tc>
          <w:tcPr>
            <w:tcW w:type="dxa" w:w="2196"/>
          </w:tcPr>
          <w:p>
            <w:r/>
            <w:r>
              <w:t>Local (Ollama)</w:t>
            </w:r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llama3.1:8b</w:t>
            </w:r>
            <w:r/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ollama</w:t>
            </w:r>
            <w:r>
              <w:t xml:space="preserve"> CLI</w:t>
            </w:r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CPU_WATTS = 28 W</w:t>
            </w:r>
            <w:r/>
          </w:p>
        </w:tc>
      </w:tr>
      <w:tr>
        <w:tc>
          <w:tcPr>
            <w:tcW w:type="dxa" w:w="2196"/>
            <w:shd w:val="clear" w:color="auto" w:fill="DEEAF1"/>
          </w:tcPr>
          <w:p>
            <w:r/>
            <w:r/>
            <w:r>
              <w:rPr>
                <w:b/>
              </w:rPr>
              <w:t>MLX — Apple M-series</w:t>
            </w:r>
            <w:r/>
          </w:p>
        </w:tc>
        <w:tc>
          <w:tcPr>
            <w:tcW w:type="dxa" w:w="2196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mlx-community/Meta-Llama-3.1-8B-Instruct-4bit</w:t>
            </w:r>
            <w:r/>
          </w:p>
        </w:tc>
        <w:tc>
          <w:tcPr>
            <w:tcW w:type="dxa" w:w="2196"/>
            <w:shd w:val="clear" w:color="auto" w:fill="DEEAF1"/>
          </w:tcPr>
          <w:p>
            <w:r/>
            <w:r>
              <w:t>Neural Engine + GPU</w:t>
            </w:r>
          </w:p>
        </w:tc>
        <w:tc>
          <w:tcPr>
            <w:tcW w:type="dxa" w:w="2196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M3_WATTS = 12 W</w:t>
            </w:r>
            <w:r/>
          </w:p>
        </w:tc>
      </w:tr>
      <w:tr>
        <w:tc>
          <w:tcPr>
            <w:tcW w:type="dxa" w:w="2196"/>
          </w:tcPr>
          <w:p>
            <w:r/>
            <w:r>
              <w:t>Remote</w:t>
            </w:r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devstral-small-2:24b</w:t>
            </w:r>
            <w:r/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https://ollama.iboo.ovh/api/generate</w:t>
            </w:r>
            <w:r/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CPU_WATTS = 28 W</w:t>
            </w:r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Installation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Linux / Windows (Ollama)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pip install numpy pyyaml requests psutil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Install ollama then: ollama pull llama3.1:8b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Mac M-series (MLX — Neural Engine)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pip install -r requirements_mac.txt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Model (~5 GB) is downloaded automatically from HuggingFace on first run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>Usage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All sessions — Ollama local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Single session — Ollama local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--session GOF-001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Single session — MLX on Apple Silicon (Mac M1/M2/M3)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--mlx --session GOF-001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All sessions — MLX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--mlx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Remote LLM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--session GOF-001 --remote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LLM_ONLY mode (no AI agent)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--mlx --session GOF-001 --no-ai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Custom number of iterations (default: 3)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--mlx --session GOF-001 --max-iters 5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Number of warmup iterations to exclude from stats (default: 1)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--mlx --session GOF-001 --warmup-iters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Argument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928"/>
          </w:tcPr>
          <w:p>
            <w:r/>
            <w:r/>
            <w:r>
              <w:rPr>
                <w:rFonts w:ascii="Courier New" w:hAnsi="Courier New"/>
                <w:sz w:val="17"/>
              </w:rPr>
              <w:t>--session</w:t>
            </w:r>
            <w:r/>
          </w:p>
        </w:tc>
        <w:tc>
          <w:tcPr>
            <w:tcW w:type="dxa" w:w="2928"/>
          </w:tcPr>
          <w:p>
            <w:r/>
            <w:r>
              <w:t>all</w:t>
            </w:r>
          </w:p>
        </w:tc>
        <w:tc>
          <w:tcPr>
            <w:tcW w:type="dxa" w:w="2928"/>
          </w:tcPr>
          <w:p>
            <w:r/>
            <w:r/>
            <w:r>
              <w:rPr>
                <w:rFonts w:ascii="Courier New" w:hAnsi="Courier New"/>
                <w:sz w:val="17"/>
              </w:rPr>
              <w:t>session_id</w:t>
            </w:r>
            <w:r>
              <w:t xml:space="preserve"> from </w:t>
            </w:r>
            <w:r>
              <w:rPr>
                <w:rFonts w:ascii="Courier New" w:hAnsi="Courier New"/>
                <w:sz w:val="17"/>
              </w:rPr>
              <w:t>sessions_gof.yaml</w:t>
            </w:r>
            <w:r/>
          </w:p>
        </w:tc>
      </w:tr>
      <w:tr>
        <w:tc>
          <w:tcPr>
            <w:tcW w:type="dxa" w:w="2928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--mlx</w:t>
            </w:r>
            <w:r/>
          </w:p>
        </w:tc>
        <w:tc>
          <w:tcPr>
            <w:tcW w:type="dxa" w:w="2928"/>
            <w:shd w:val="clear" w:color="auto" w:fill="DEEAF1"/>
          </w:tcPr>
          <w:p>
            <w:r/>
            <w:r>
              <w:t>—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Use MLX on Apple Silicon (Neural Engine + GPU)</w:t>
            </w:r>
          </w:p>
        </w:tc>
      </w:tr>
      <w:tr>
        <w:tc>
          <w:tcPr>
            <w:tcW w:type="dxa" w:w="2928"/>
          </w:tcPr>
          <w:p>
            <w:r/>
            <w:r/>
            <w:r>
              <w:rPr>
                <w:rFonts w:ascii="Courier New" w:hAnsi="Courier New"/>
                <w:sz w:val="17"/>
              </w:rPr>
              <w:t>--remote</w:t>
            </w:r>
            <w:r/>
          </w:p>
        </w:tc>
        <w:tc>
          <w:tcPr>
            <w:tcW w:type="dxa" w:w="2928"/>
          </w:tcPr>
          <w:p>
            <w:r/>
            <w:r>
              <w:t>local</w:t>
            </w:r>
          </w:p>
        </w:tc>
        <w:tc>
          <w:tcPr>
            <w:tcW w:type="dxa" w:w="2928"/>
          </w:tcPr>
          <w:p>
            <w:r/>
            <w:r>
              <w:t>Use remote LLM (</w:t>
            </w:r>
            <w:r>
              <w:rPr>
                <w:rFonts w:ascii="Courier New" w:hAnsi="Courier New"/>
                <w:sz w:val="17"/>
              </w:rPr>
              <w:t>devstral-small-2:24b</w:t>
            </w:r>
            <w:r>
              <w:t xml:space="preserve">) — overrides </w:t>
            </w:r>
            <w:r>
              <w:rPr>
                <w:rFonts w:ascii="Courier New" w:hAnsi="Courier New"/>
                <w:sz w:val="17"/>
              </w:rPr>
              <w:t>--mlx</w:t>
            </w:r>
            <w:r/>
          </w:p>
        </w:tc>
      </w:tr>
      <w:tr>
        <w:tc>
          <w:tcPr>
            <w:tcW w:type="dxa" w:w="2928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--no-ai</w:t>
            </w:r>
            <w:r/>
          </w:p>
        </w:tc>
        <w:tc>
          <w:tcPr>
            <w:tcW w:type="dxa" w:w="2928"/>
            <w:shd w:val="clear" w:color="auto" w:fill="DEEAF1"/>
          </w:tcPr>
          <w:p>
            <w:r/>
            <w:r>
              <w:t>—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Disable the Active Inference agent (LLM_ONLY only)</w:t>
            </w:r>
          </w:p>
        </w:tc>
      </w:tr>
      <w:tr>
        <w:tc>
          <w:tcPr>
            <w:tcW w:type="dxa" w:w="2928"/>
          </w:tcPr>
          <w:p>
            <w:r/>
            <w:r/>
            <w:r>
              <w:rPr>
                <w:rFonts w:ascii="Courier New" w:hAnsi="Courier New"/>
                <w:sz w:val="17"/>
              </w:rPr>
              <w:t>--max-iters</w:t>
            </w:r>
            <w:r/>
          </w:p>
        </w:tc>
        <w:tc>
          <w:tcPr>
            <w:tcW w:type="dxa" w:w="2928"/>
          </w:tcPr>
          <w:p>
            <w:r/>
            <w:r/>
            <w:r>
              <w:rPr>
                <w:rFonts w:ascii="Courier New" w:hAnsi="Courier New"/>
                <w:sz w:val="17"/>
              </w:rPr>
              <w:t>3</w:t>
            </w:r>
            <w:r/>
          </w:p>
        </w:tc>
        <w:tc>
          <w:tcPr>
            <w:tcW w:type="dxa" w:w="2928"/>
          </w:tcPr>
          <w:p>
            <w:r/>
            <w:r>
              <w:t>Total iterations per mode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--warmup-iters</w:t>
            </w:r>
            <w:r/>
          </w:p>
        </w:tc>
        <w:tc>
          <w:tcPr>
            <w:tcW w:type="dxa" w:w="2928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1</w:t>
            </w:r>
            <w:r/>
          </w:p>
        </w:tc>
        <w:tc>
          <w:tcPr>
            <w:tcW w:type="dxa" w:w="2928"/>
            <w:shd w:val="clear" w:color="auto" w:fill="DEEAF1"/>
          </w:tcPr>
          <w:p>
            <w:r/>
            <w:r>
              <w:t xml:space="preserve">Initial iterations excluded from statistics (tagged </w:t>
            </w:r>
            <w:r>
              <w:rPr>
                <w:rFonts w:ascii="Courier New" w:hAnsi="Courier New"/>
                <w:sz w:val="17"/>
              </w:rPr>
              <w:t>WARMUP</w:t>
            </w:r>
            <w:r>
              <w:t xml:space="preserve"> in CSV)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Reference</w:t>
      </w:r>
    </w:p>
    <w:p>
      <w:pPr/>
      <w:r>
        <w:t xml:space="preserve">Theoretical framework: </w:t>
      </w:r>
      <w:r>
        <w:rPr>
          <w:b/>
        </w:rPr>
        <w:t>CIITR</w:t>
      </w:r>
      <w:r>
        <w:t xml:space="preserve"> — Tor-Ståle Hansen, Theoretical Note No. 2–2026.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t>gof1 — GoF Pattern Detector with Active Inference (Français)</w:t>
      </w:r>
    </w:p>
    <w:p>
      <w:pPr/>
      <w:r>
        <w:t>Benchmark comparant deux modes de génération de diagrammes de classes GoF :</w:t>
      </w:r>
    </w:p>
    <w:p>
      <w:pPr>
        <w:pStyle w:val="ListBullet"/>
      </w:pPr>
      <w:r/>
      <w:r>
        <w:rPr>
          <w:b/>
        </w:rPr>
        <w:t>LLM_ONLY</w:t>
      </w:r>
      <w:r>
        <w:t xml:space="preserve"> : le LLM reçoit le prompt brut et génère directement le JSON</w:t>
      </w:r>
    </w:p>
    <w:p>
      <w:pPr>
        <w:pStyle w:val="ListBullet"/>
      </w:pPr>
      <w:r/>
      <w:r>
        <w:rPr>
          <w:b/>
        </w:rPr>
        <w:t>LLM_AI</w:t>
      </w:r>
      <w:r>
        <w:t xml:space="preserve"> : un agent Active Inference détecte le pattern et enrichit le prompt avant l'appel LLM</w:t>
      </w:r>
    </w:p>
    <w:p>
      <w:pPr/>
      <w:r>
        <w:t xml:space="preserve">L'hypothèse à démontrer : </w:t>
      </w:r>
      <w:r>
        <w:rPr>
          <w:b/>
        </w:rPr>
        <w:t>(Φᵢ/E)_AI ≥ (Φᵢ/E)_LLM</w:t>
      </w:r>
      <w:r>
        <w:t xml:space="preserve"> et </w:t>
      </w:r>
      <w:r>
        <w:rPr>
          <w:b/>
        </w:rPr>
        <w:t>Rᵍ &gt; 0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Cadre théorique (CIITR)</w:t>
      </w:r>
    </w:p>
    <w:p>
      <w:pPr/>
      <w:r>
        <w:t>La compréhension est définie comme :</w:t>
      </w:r>
    </w:p>
    <w:p>
      <w:pPr/>
      <w:r/>
      <w:r>
        <w:rPr>
          <w:b/>
        </w:rPr>
        <w:t>Cᵢ = Φᵢ × Rᵍ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Symbole</w:t>
            </w:r>
          </w:p>
        </w:tc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Signification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Φᵢ</w:t>
            </w:r>
            <w:r/>
          </w:p>
        </w:tc>
        <w:tc>
          <w:tcPr>
            <w:tcW w:type="dxa" w:w="4392"/>
          </w:tcPr>
          <w:p>
            <w:r/>
            <w:r>
              <w:t>Intégration structurelle — cohérence du diagramme généré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b/>
              </w:rPr>
              <w:t>Rᵍ</w:t>
            </w:r>
            <w:r/>
          </w:p>
        </w:tc>
        <w:tc>
          <w:tcPr>
            <w:tcW w:type="dxa" w:w="4392"/>
            <w:shd w:val="clear" w:color="auto" w:fill="DEEAF1"/>
          </w:tcPr>
          <w:p>
            <w:r/>
            <w:r>
              <w:t>Ancrage rythmique — mise à jour récursive des croyances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CPJ</w:t>
            </w:r>
            <w:r/>
          </w:p>
        </w:tc>
        <w:tc>
          <w:tcPr>
            <w:tcW w:type="dxa" w:w="4392"/>
          </w:tcPr>
          <w:p>
            <w:r/>
            <w:r>
              <w:t>Compréhension par Joule = Cᵢ / énergie (efficacité épistémique)</w:t>
            </w:r>
          </w:p>
        </w:tc>
      </w:tr>
    </w:tbl>
    <w:p/>
    <w:p>
      <w:pPr/>
      <w:r>
        <w:t>Lien avec Friston :</w:t>
      </w:r>
    </w:p>
    <w:p>
      <w:pPr>
        <w:pStyle w:val="ListBullet"/>
      </w:pPr>
      <w:r/>
      <w:r>
        <w:rPr>
          <w:b/>
        </w:rPr>
        <w:t>LLM seul → Rᵍ = 0</w:t>
      </w:r>
      <w:r>
        <w:t xml:space="preserve"> : poids figés, aucune mise à jour pendant l'inférence</w:t>
      </w:r>
    </w:p>
    <w:p>
      <w:pPr>
        <w:pStyle w:val="ListBullet"/>
      </w:pPr>
      <w:r/>
      <w:r>
        <w:rPr>
          <w:b/>
        </w:rPr>
        <w:t>Agent Active Inference → Rᵍ &gt; 0</w:t>
      </w:r>
      <w:r>
        <w:t xml:space="preserve"> : minimisation de la free energy (VFE), croyances mises à jour à chaque observation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Architecture du projet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gof1/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├── agent_ai/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└── gof_ai_agent.py     # Agent Active Inference (matrices A 32×23, B 23×23)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├── agent_llm/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└── llm.py              # Appels LLM local (llama3.1:8b) ou remote (devstral-small-2:24b)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├── gof/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├── generator.py        # Construction du prompt LLM (avec/sans contexte AI)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├── metamodel.py        # Validation JSON + traduction PlantUML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└── schema.py           # Schémas canoniques des 23 patterns GoF (min_classes, rel_types, key_methods)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├── metrics/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│   └── export.py           # Export CSV des résultats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├── benchmark_gof.py        # Pipeline principal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└── sessions_gof.yaml       # Sessions de test (GOF-001 à GOF-007)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>Pipeline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objective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├─── LLM_ONLY ──────────────────────────────────────────────────┐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│     prompt brut → LLM → JSON → validate → PlantUML → CPJ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│                                            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└─── LLM_AI ──────────────────────────────────────────────────── ┤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   keywords → agent AI → contexte enrichi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        → prompt enrichi → LLM → JSON → validate → PlantUML → CPJ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                                                               │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                                                        CSV export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>Agent Active Inference</w:t>
      </w:r>
    </w:p>
    <w:p>
      <w:pPr/>
      <w:r>
        <w:t>Implémenté dans [agent_ai/gof_ai_agent.py](agent_ai/gof_ai_agent.py).</w:t>
      </w:r>
    </w:p>
    <w:p>
      <w:pPr/>
      <w:r/>
      <w:r>
        <w:rPr>
          <w:b/>
        </w:rPr>
        <w:t>Matrices du modèle génératif 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Matrice</w:t>
            </w:r>
          </w:p>
        </w:tc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Dimensions</w:t>
            </w:r>
          </w:p>
        </w:tc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Signification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_A</w:t>
            </w:r>
            <w:r/>
          </w:p>
        </w:tc>
        <w:tc>
          <w:tcPr>
            <w:tcW w:type="dxa" w:w="2196"/>
          </w:tcPr>
          <w:p>
            <w:r/>
            <w:r>
              <w:t>32 × 23</w:t>
            </w:r>
          </w:p>
        </w:tc>
        <w:tc>
          <w:tcPr>
            <w:tcW w:type="dxa" w:w="2196"/>
          </w:tcPr>
          <w:p>
            <w:r/>
            <w:r>
              <w:t>P(keyword \</w:t>
            </w:r>
          </w:p>
        </w:tc>
        <w:tc>
          <w:tcPr>
            <w:tcW w:type="dxa" w:w="2196"/>
          </w:tcPr>
          <w:p>
            <w:r/>
            <w:r>
              <w:t>pattern) — vraisemblance, colonnes normalisées à 1</w:t>
            </w:r>
          </w:p>
        </w:tc>
      </w:tr>
      <w:tr>
        <w:tc>
          <w:tcPr>
            <w:tcW w:type="dxa" w:w="2196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_B</w:t>
            </w:r>
            <w:r/>
          </w:p>
        </w:tc>
        <w:tc>
          <w:tcPr>
            <w:tcW w:type="dxa" w:w="2196"/>
            <w:shd w:val="clear" w:color="auto" w:fill="DEEAF1"/>
          </w:tcPr>
          <w:p>
            <w:r/>
            <w:r>
              <w:t>23 × 23</w:t>
            </w:r>
          </w:p>
        </w:tc>
        <w:tc>
          <w:tcPr>
            <w:tcW w:type="dxa" w:w="2196"/>
            <w:shd w:val="clear" w:color="auto" w:fill="DEEAF1"/>
          </w:tcPr>
          <w:p>
            <w:r/>
            <w:r>
              <w:t>P(pattern suivant \</w:t>
            </w:r>
          </w:p>
        </w:tc>
        <w:tc>
          <w:tcPr>
            <w:tcW w:type="dxa" w:w="2196"/>
            <w:shd w:val="clear" w:color="auto" w:fill="DEEAF1"/>
          </w:tcPr>
          <w:p>
            <w:r/>
            <w:r>
              <w:t>pattern courant) — stay=0.85</w:t>
            </w:r>
          </w:p>
        </w:tc>
      </w:tr>
      <w:tr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_posterior</w:t>
            </w:r>
            <w:r/>
          </w:p>
        </w:tc>
        <w:tc>
          <w:tcPr>
            <w:tcW w:type="dxa" w:w="2196"/>
          </w:tcPr>
          <w:p>
            <w:r/>
            <w:r>
              <w:t>23</w:t>
            </w:r>
          </w:p>
        </w:tc>
        <w:tc>
          <w:tcPr>
            <w:tcW w:type="dxa" w:w="2196"/>
          </w:tcPr>
          <w:p>
            <w:r/>
            <w:r>
              <w:t>Q(s) — croyance courante sur le pattern actif</w:t>
            </w:r>
          </w:p>
        </w:tc>
        <w:tc>
          <w:tcPr>
            <w:tcW w:type="dxa" w:w="2196"/>
          </w:tcPr>
          <w:p/>
        </w:tc>
      </w:tr>
      <w:tr>
        <w:tc>
          <w:tcPr>
            <w:tcW w:type="dxa" w:w="2196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_prior</w:t>
            </w:r>
            <w:r/>
          </w:p>
        </w:tc>
        <w:tc>
          <w:tcPr>
            <w:tcW w:type="dxa" w:w="2196"/>
            <w:shd w:val="clear" w:color="auto" w:fill="DEEAF1"/>
          </w:tcPr>
          <w:p>
            <w:r/>
            <w:r>
              <w:t>23</w:t>
            </w:r>
          </w:p>
        </w:tc>
        <w:tc>
          <w:tcPr>
            <w:tcW w:type="dxa" w:w="2196"/>
            <w:shd w:val="clear" w:color="auto" w:fill="DEEAF1"/>
          </w:tcPr>
          <w:p>
            <w:r/>
            <w:r>
              <w:t>P(s) — prior prédictif pour la prochaine observation</w:t>
            </w:r>
          </w:p>
        </w:tc>
        <w:tc>
          <w:tcPr>
            <w:tcW w:type="dxa" w:w="2196"/>
          </w:tcPr>
          <w:p/>
        </w:tc>
      </w:tr>
    </w:tbl>
    <w:p/>
    <w:p>
      <w:pPr/>
      <w:r/>
      <w:r>
        <w:rPr>
          <w:b/>
        </w:rPr>
        <w:t>Mise à jour bayésienne</w:t>
      </w:r>
      <w:r>
        <w:t xml:space="preserve"> à chaque </w:t>
      </w:r>
      <w:r>
        <w:rPr>
          <w:rFonts w:ascii="Courier New" w:hAnsi="Courier New"/>
          <w:sz w:val="18"/>
        </w:rPr>
        <w:t>observe_keyword(kw)</w:t>
      </w:r>
      <w:r>
        <w:t xml:space="preserve"> 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likelihood = _A[kw_idx, :]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unnorm     = likelihood * prior        # P(o|s) · P(s)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evidence   = unnorm.sum()              # P(o) — marginale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surprise   = -log(evidence)           # VFE simplifié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posterior  = unnorm / evidence         # Règle de Bayes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prior      = _B @ posterior            # Prior prédictif t+1</w:t>
      </w:r>
    </w:p>
    <w:p/>
    <w:p>
      <w:pPr/>
      <w:r/>
      <w:r>
        <w:rPr>
          <w:b/>
        </w:rPr>
        <w:t>23 patterns GoF supportés :</w:t>
      </w:r>
      <w:r>
        <w:t xml:space="preserve"> Singleton, FactoryMethod, AbstractFactory, Builder, Prototype, Adapter, Bridge, Composite, Decorator, Facade, Flyweight, Proxy, ChainOfResponsibility, Command, Interpreter, Iterator, Mediator, Memento, Observer, State, Strategy, TemplateMethod, Visitor</w:t>
      </w:r>
    </w:p>
    <w:p>
      <w:pPr/>
      <w:r/>
      <w:r>
        <w:rPr>
          <w:b/>
        </w:rPr>
        <w:t>32 mots-clés reconnus :</w:t>
      </w:r>
      <w:r>
        <w:t xml:space="preserve"> unique, single, global, instance, factory, build, step, clone, copy, adapt, convert, incompatible, decorate, wrap, proxy, facade, simplify, tree, leaf, share, notify, subscribe, execute, undo, visit, iterate, chain, handler, template, skeleton, snapshot, grammar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Format JSON produit par le LLM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"pattern": "Singleton",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"patterns": ["PatternA", "PatternB"],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"classes": [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"id": "uniqueId",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"name": "ClassName",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"type": "class | abstract | interface",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"attributes": ["- name: Type"],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"methods": ["+ method(): ReturnType"]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],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"relationships": [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{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"type": "inheritance | implementation | association | dependency | composition | aggregation",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"sourceId": "...",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"targetId": "...",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  "label": "optional"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  }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]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}</w:t>
      </w:r>
    </w:p>
    <w:p/>
    <w:p>
      <w:pPr/>
      <w:r>
        <w:t xml:space="preserve">Flèches PlantUML générées : </w:t>
      </w:r>
      <w:r>
        <w:rPr>
          <w:rFonts w:ascii="Courier New" w:hAnsi="Courier New"/>
          <w:sz w:val="18"/>
        </w:rPr>
        <w:t>--|&gt;</w:t>
      </w:r>
      <w:r>
        <w:t xml:space="preserve"> héritage · </w:t>
      </w:r>
      <w:r>
        <w:rPr>
          <w:rFonts w:ascii="Courier New" w:hAnsi="Courier New"/>
          <w:sz w:val="18"/>
        </w:rPr>
        <w:t>..|&gt;</w:t>
      </w:r>
      <w:r>
        <w:t xml:space="preserve"> implémentation · </w:t>
      </w:r>
      <w:r>
        <w:rPr>
          <w:rFonts w:ascii="Courier New" w:hAnsi="Courier New"/>
          <w:sz w:val="18"/>
        </w:rPr>
        <w:t>--&gt;</w:t>
      </w:r>
      <w:r>
        <w:t xml:space="preserve"> association · </w:t>
      </w:r>
      <w:r>
        <w:rPr>
          <w:rFonts w:ascii="Courier New" w:hAnsi="Courier New"/>
          <w:sz w:val="18"/>
        </w:rPr>
        <w:t>..&gt;</w:t>
      </w:r>
      <w:r>
        <w:t xml:space="preserve"> dépendance · </w:t>
      </w:r>
      <w:r>
        <w:rPr>
          <w:rFonts w:ascii="Courier New" w:hAnsi="Courier New"/>
          <w:sz w:val="18"/>
        </w:rPr>
        <w:t>*--&gt;</w:t>
      </w:r>
      <w:r>
        <w:t xml:space="preserve"> composition · </w:t>
      </w:r>
      <w:r>
        <w:rPr>
          <w:rFonts w:ascii="Courier New" w:hAnsi="Courier New"/>
          <w:sz w:val="18"/>
        </w:rPr>
        <w:t>o--&gt;</w:t>
      </w:r>
      <w:r>
        <w:t xml:space="preserve"> agrégation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Sessions de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Pattern cible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928"/>
          </w:tcPr>
          <w:p>
            <w:r/>
            <w:r>
              <w:t>GOF-001</w:t>
            </w:r>
          </w:p>
        </w:tc>
        <w:tc>
          <w:tcPr>
            <w:tcW w:type="dxa" w:w="2928"/>
          </w:tcPr>
          <w:p>
            <w:r/>
            <w:r>
              <w:t>Singleton</w:t>
            </w:r>
          </w:p>
        </w:tc>
        <w:tc>
          <w:tcPr>
            <w:tcW w:type="dxa" w:w="2928"/>
          </w:tcPr>
          <w:p>
            <w:r/>
            <w:r>
              <w:t>Logger avec instance unique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GOF-002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Adapter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Adaptateur d'interface de paiement</w:t>
            </w:r>
          </w:p>
        </w:tc>
      </w:tr>
      <w:tr>
        <w:tc>
          <w:tcPr>
            <w:tcW w:type="dxa" w:w="2928"/>
          </w:tcPr>
          <w:p>
            <w:r/>
            <w:r>
              <w:t>GOF-003</w:t>
            </w:r>
          </w:p>
        </w:tc>
        <w:tc>
          <w:tcPr>
            <w:tcW w:type="dxa" w:w="2928"/>
          </w:tcPr>
          <w:p>
            <w:r/>
            <w:r>
              <w:t>Observer</w:t>
            </w:r>
          </w:p>
        </w:tc>
        <w:tc>
          <w:tcPr>
            <w:tcW w:type="dxa" w:w="2928"/>
          </w:tcPr>
          <w:p>
            <w:r/>
            <w:r>
              <w:t>Système de notifications/abonnements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GOF-004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Builder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Construction fluente de requêtes SQL</w:t>
            </w:r>
          </w:p>
        </w:tc>
      </w:tr>
      <w:tr>
        <w:tc>
          <w:tcPr>
            <w:tcW w:type="dxa" w:w="2928"/>
          </w:tcPr>
          <w:p>
            <w:r/>
            <w:r>
              <w:t>GOF-005</w:t>
            </w:r>
          </w:p>
        </w:tc>
        <w:tc>
          <w:tcPr>
            <w:tcW w:type="dxa" w:w="2928"/>
          </w:tcPr>
          <w:p>
            <w:r/>
            <w:r>
              <w:t>Memento</w:t>
            </w:r>
          </w:p>
        </w:tc>
        <w:tc>
          <w:tcPr>
            <w:tcW w:type="dxa" w:w="2928"/>
          </w:tcPr>
          <w:p>
            <w:r/>
            <w:r>
              <w:t>Snapshots de document pour undo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GOF-006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Memento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Idem GOF-005 (run de référence)</w:t>
            </w:r>
          </w:p>
        </w:tc>
      </w:tr>
      <w:tr>
        <w:tc>
          <w:tcPr>
            <w:tcW w:type="dxa" w:w="2928"/>
          </w:tcPr>
          <w:p>
            <w:r/>
            <w:r>
              <w:t>GOF-007</w:t>
            </w:r>
          </w:p>
        </w:tc>
        <w:tc>
          <w:tcPr>
            <w:tcW w:type="dxa" w:w="2928"/>
          </w:tcPr>
          <w:p>
            <w:r/>
            <w:r>
              <w:t>Memento + Observer</w:t>
            </w:r>
          </w:p>
        </w:tc>
        <w:tc>
          <w:tcPr>
            <w:tcW w:type="dxa" w:w="2928"/>
          </w:tcPr>
          <w:p>
            <w:r/>
            <w:r>
              <w:t>Éditeur de texte — objectif implicite multi-pattern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GOF-008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Composite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Modèle de domaine système de fichiers (fichiers, dossiers, liens)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Résultats exportés (CSV)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92"/>
          </w:tcPr>
          <w:p>
            <w:r/>
            <w:r>
              <w:t>Session</w:t>
            </w:r>
          </w:p>
        </w:tc>
        <w:tc>
          <w:tcPr>
            <w:tcW w:type="dxa" w:w="4392"/>
          </w:tcPr>
          <w:p>
            <w:r/>
            <w:r>
              <w:t>Identifiant de la session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t>Mode</w:t>
            </w:r>
          </w:p>
        </w:tc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LLM_ONLY</w:t>
            </w:r>
            <w:r>
              <w:t xml:space="preserve"> ou </w:t>
            </w:r>
            <w:r>
              <w:rPr>
                <w:rFonts w:ascii="Courier New" w:hAnsi="Courier New"/>
                <w:sz w:val="17"/>
              </w:rPr>
              <w:t>LLM_AI</w:t>
            </w:r>
            <w:r/>
          </w:p>
        </w:tc>
      </w:tr>
      <w:tr>
        <w:tc>
          <w:tcPr>
            <w:tcW w:type="dxa" w:w="4392"/>
          </w:tcPr>
          <w:p>
            <w:r/>
            <w:r>
              <w:t>Iteration</w:t>
            </w:r>
          </w:p>
        </w:tc>
        <w:tc>
          <w:tcPr>
            <w:tcW w:type="dxa" w:w="4392"/>
          </w:tcPr>
          <w:p>
            <w:r/>
            <w:r>
              <w:t>Numéro d'itération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t>Status</w:t>
            </w:r>
          </w:p>
        </w:tc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WARMUP</w:t>
            </w:r>
            <w:r>
              <w:t xml:space="preserve"> · </w:t>
            </w:r>
            <w:r>
              <w:rPr>
                <w:rFonts w:ascii="Courier New" w:hAnsi="Courier New"/>
                <w:sz w:val="17"/>
              </w:rPr>
              <w:t>ACCEPTED</w:t>
            </w:r>
            <w:r>
              <w:t xml:space="preserve"> · </w:t>
            </w:r>
            <w:r>
              <w:rPr>
                <w:rFonts w:ascii="Courier New" w:hAnsi="Courier New"/>
                <w:sz w:val="17"/>
              </w:rPr>
              <w:t>REJECTED</w:t>
            </w:r>
            <w:r/>
          </w:p>
        </w:tc>
      </w:tr>
      <w:tr>
        <w:tc>
          <w:tcPr>
            <w:tcW w:type="dxa" w:w="4392"/>
          </w:tcPr>
          <w:p>
            <w:r/>
            <w:r>
              <w:t>Energy_J</w:t>
            </w:r>
          </w:p>
        </w:tc>
        <w:tc>
          <w:tcPr>
            <w:tcW w:type="dxa" w:w="4392"/>
          </w:tcPr>
          <w:p>
            <w:r/>
            <w:r>
              <w:t>Énergie consommée (joules, CPU_WATTS=28)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t>Comprehension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t>Φᵢ = n_classes + 2 × n_relations — score d'intégration structurelle non borné</w:t>
            </w:r>
          </w:p>
        </w:tc>
      </w:tr>
      <w:tr>
        <w:tc>
          <w:tcPr>
            <w:tcW w:type="dxa" w:w="4392"/>
          </w:tcPr>
          <w:p>
            <w:r/>
            <w:r>
              <w:t>Phi_E</w:t>
            </w:r>
          </w:p>
        </w:tc>
        <w:tc>
          <w:tcPr>
            <w:tcW w:type="dxa" w:w="4392"/>
          </w:tcPr>
          <w:p>
            <w:r/>
            <w:r/>
            <w:r>
              <w:rPr>
                <w:b/>
              </w:rPr>
              <w:t>Métrique principale</w:t>
            </w:r>
            <w:r>
              <w:t xml:space="preserve"> — Φᵢ / Energy_J (qualité structurelle par joule)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t>CPJ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t>Φᵢ × Rg / Energy_J — conservé à titre de référence ; toujours 0 en LLM_ONLY (Rg=0 par définition)</w:t>
            </w:r>
          </w:p>
        </w:tc>
      </w:tr>
      <w:tr>
        <w:tc>
          <w:tcPr>
            <w:tcW w:type="dxa" w:w="4392"/>
          </w:tcPr>
          <w:p>
            <w:r/>
            <w:r>
              <w:t>Rg</w:t>
            </w:r>
          </w:p>
        </w:tc>
        <w:tc>
          <w:tcPr>
            <w:tcW w:type="dxa" w:w="4392"/>
          </w:tcPr>
          <w:p>
            <w:r/>
            <w:r>
              <w:t>Moyenne de la surprise −log P(o) — 0 en LLM_ONLY, &gt; 0 valide la mise à jour des croyances en LLM_AI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>
              <w:t>Pattern</w:t>
            </w:r>
          </w:p>
        </w:tc>
        <w:tc>
          <w:tcPr>
            <w:tcW w:type="dxa" w:w="4392"/>
            <w:shd w:val="clear" w:color="auto" w:fill="DEEAF1"/>
          </w:tcPr>
          <w:p>
            <w:r/>
            <w:r>
              <w:t xml:space="preserve">Pattern produit par le LLM (ex. </w:t>
            </w:r>
            <w:r>
              <w:rPr>
                <w:rFonts w:ascii="Courier New" w:hAnsi="Courier New"/>
                <w:sz w:val="17"/>
              </w:rPr>
              <w:t>Memento+Observer</w:t>
            </w:r>
            <w:r>
              <w:t>)</w:t>
            </w:r>
          </w:p>
        </w:tc>
      </w:tr>
      <w:tr>
        <w:tc>
          <w:tcPr>
            <w:tcW w:type="dxa" w:w="4392"/>
          </w:tcPr>
          <w:p>
            <w:r/>
            <w:r>
              <w:t>Error</w:t>
            </w:r>
          </w:p>
        </w:tc>
        <w:tc>
          <w:tcPr>
            <w:tcW w:type="dxa" w:w="4392"/>
          </w:tcPr>
          <w:p>
            <w:r/>
            <w:r>
              <w:t>Message d'erreur si REJECTED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LLM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Modèle</w:t>
            </w:r>
          </w:p>
        </w:tc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96"/>
            <w:shd w:val="clear" w:color="auto" w:fill="2E74B5"/>
          </w:tcPr>
          <w:p>
            <w:r/>
            <w:r>
              <w:rPr>
                <w:b/>
                <w:color w:val="FFFFFF"/>
              </w:rPr>
              <w:t>Constante énergie</w:t>
            </w:r>
          </w:p>
        </w:tc>
      </w:tr>
      <w:tr>
        <w:tc>
          <w:tcPr>
            <w:tcW w:type="dxa" w:w="2196"/>
          </w:tcPr>
          <w:p>
            <w:r/>
            <w:r>
              <w:t>Local (Ollama)</w:t>
            </w:r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llama3.1:8b</w:t>
            </w:r>
            <w:r/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ollama</w:t>
            </w:r>
            <w:r>
              <w:t xml:space="preserve"> CLI</w:t>
            </w:r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CPU_WATTS = 28 W</w:t>
            </w:r>
            <w:r/>
          </w:p>
        </w:tc>
      </w:tr>
      <w:tr>
        <w:tc>
          <w:tcPr>
            <w:tcW w:type="dxa" w:w="2196"/>
            <w:shd w:val="clear" w:color="auto" w:fill="DEEAF1"/>
          </w:tcPr>
          <w:p>
            <w:r/>
            <w:r/>
            <w:r>
              <w:rPr>
                <w:b/>
              </w:rPr>
              <w:t>MLX — Apple M-series</w:t>
            </w:r>
            <w:r/>
          </w:p>
        </w:tc>
        <w:tc>
          <w:tcPr>
            <w:tcW w:type="dxa" w:w="2196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mlx-community/Meta-Llama-3.1-8B-Instruct-4bit</w:t>
            </w:r>
            <w:r/>
          </w:p>
        </w:tc>
        <w:tc>
          <w:tcPr>
            <w:tcW w:type="dxa" w:w="2196"/>
            <w:shd w:val="clear" w:color="auto" w:fill="DEEAF1"/>
          </w:tcPr>
          <w:p>
            <w:r/>
            <w:r>
              <w:t>Neural Engine + GPU</w:t>
            </w:r>
          </w:p>
        </w:tc>
        <w:tc>
          <w:tcPr>
            <w:tcW w:type="dxa" w:w="2196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M3_WATTS = 12 W</w:t>
            </w:r>
            <w:r/>
          </w:p>
        </w:tc>
      </w:tr>
      <w:tr>
        <w:tc>
          <w:tcPr>
            <w:tcW w:type="dxa" w:w="2196"/>
          </w:tcPr>
          <w:p>
            <w:r/>
            <w:r>
              <w:t>Remote</w:t>
            </w:r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devstral-small-2:24b</w:t>
            </w:r>
            <w:r/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https://ollama.iboo.ovh/api/generate</w:t>
            </w:r>
            <w:r/>
          </w:p>
        </w:tc>
        <w:tc>
          <w:tcPr>
            <w:tcW w:type="dxa" w:w="2196"/>
          </w:tcPr>
          <w:p>
            <w:r/>
            <w:r/>
            <w:r>
              <w:rPr>
                <w:rFonts w:ascii="Courier New" w:hAnsi="Courier New"/>
                <w:sz w:val="17"/>
              </w:rPr>
              <w:t>CPU_WATTS = 28 W</w:t>
            </w:r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Installation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Linux / Windows (Ollama)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pip install numpy pyyaml requests psutil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Installer ollama puis : ollama pull llama3.1:8b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Mac M-series (MLX — Neural Engine)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pip install -r requirements_mac.txt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Le modèle (~5 Go) est téléchargé automatiquement depuis HuggingFace au premier lancement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>Utilisation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Toutes les sessions — Ollama local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Session spécifique — Ollama local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--session GOF-001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Session spécifique — MLX sur Apple Silicon (Mac M1/M2/M3)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--mlx --session GOF-001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Toutes les sessions — MLX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--mlx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LLM remote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--session GOF-001 --remote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Mode LLM_ONLY (sans agent AI)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--mlx --session GOF-001 --no-ai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Nombre d'itérations personnalisé (défaut : 3)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--mlx --session GOF-001 --max-iters 5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# Nombre d'itérations de warmup à exclure des stats (défaut : 1)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02020"/>
          <w:sz w:val="17"/>
        </w:rPr>
        <w:t>python benchmark_gof.py --mlx --session GOF-001 --warmup-iters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Argument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Défaut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928"/>
          </w:tcPr>
          <w:p>
            <w:r/>
            <w:r/>
            <w:r>
              <w:rPr>
                <w:rFonts w:ascii="Courier New" w:hAnsi="Courier New"/>
                <w:sz w:val="17"/>
              </w:rPr>
              <w:t>--session</w:t>
            </w:r>
            <w:r/>
          </w:p>
        </w:tc>
        <w:tc>
          <w:tcPr>
            <w:tcW w:type="dxa" w:w="2928"/>
          </w:tcPr>
          <w:p>
            <w:r/>
            <w:r>
              <w:t>toutes</w:t>
            </w:r>
          </w:p>
        </w:tc>
        <w:tc>
          <w:tcPr>
            <w:tcW w:type="dxa" w:w="2928"/>
          </w:tcPr>
          <w:p>
            <w:r/>
            <w:r/>
            <w:r>
              <w:rPr>
                <w:rFonts w:ascii="Courier New" w:hAnsi="Courier New"/>
                <w:sz w:val="17"/>
              </w:rPr>
              <w:t>session_id</w:t>
            </w:r>
            <w:r>
              <w:t xml:space="preserve"> issu de </w:t>
            </w:r>
            <w:r>
              <w:rPr>
                <w:rFonts w:ascii="Courier New" w:hAnsi="Courier New"/>
                <w:sz w:val="17"/>
              </w:rPr>
              <w:t>sessions_gof.yaml</w:t>
            </w:r>
            <w:r/>
          </w:p>
        </w:tc>
      </w:tr>
      <w:tr>
        <w:tc>
          <w:tcPr>
            <w:tcW w:type="dxa" w:w="2928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--mlx</w:t>
            </w:r>
            <w:r/>
          </w:p>
        </w:tc>
        <w:tc>
          <w:tcPr>
            <w:tcW w:type="dxa" w:w="2928"/>
            <w:shd w:val="clear" w:color="auto" w:fill="DEEAF1"/>
          </w:tcPr>
          <w:p>
            <w:r/>
            <w:r>
              <w:t>—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Utilise MLX sur Apple Silicon (Neural Engine + GPU)</w:t>
            </w:r>
          </w:p>
        </w:tc>
      </w:tr>
      <w:tr>
        <w:tc>
          <w:tcPr>
            <w:tcW w:type="dxa" w:w="2928"/>
          </w:tcPr>
          <w:p>
            <w:r/>
            <w:r/>
            <w:r>
              <w:rPr>
                <w:rFonts w:ascii="Courier New" w:hAnsi="Courier New"/>
                <w:sz w:val="17"/>
              </w:rPr>
              <w:t>--remote</w:t>
            </w:r>
            <w:r/>
          </w:p>
        </w:tc>
        <w:tc>
          <w:tcPr>
            <w:tcW w:type="dxa" w:w="2928"/>
          </w:tcPr>
          <w:p>
            <w:r/>
            <w:r>
              <w:t>local</w:t>
            </w:r>
          </w:p>
        </w:tc>
        <w:tc>
          <w:tcPr>
            <w:tcW w:type="dxa" w:w="2928"/>
          </w:tcPr>
          <w:p>
            <w:r/>
            <w:r>
              <w:t>Utilise le LLM remote (</w:t>
            </w:r>
            <w:r>
              <w:rPr>
                <w:rFonts w:ascii="Courier New" w:hAnsi="Courier New"/>
                <w:sz w:val="17"/>
              </w:rPr>
              <w:t>devstral-small-2:24b</w:t>
            </w:r>
            <w:r>
              <w:t xml:space="preserve">) — écrase </w:t>
            </w:r>
            <w:r>
              <w:rPr>
                <w:rFonts w:ascii="Courier New" w:hAnsi="Courier New"/>
                <w:sz w:val="17"/>
              </w:rPr>
              <w:t>--mlx</w:t>
            </w:r>
            <w:r/>
          </w:p>
        </w:tc>
      </w:tr>
      <w:tr>
        <w:tc>
          <w:tcPr>
            <w:tcW w:type="dxa" w:w="2928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--no-ai</w:t>
            </w:r>
            <w:r/>
          </w:p>
        </w:tc>
        <w:tc>
          <w:tcPr>
            <w:tcW w:type="dxa" w:w="2928"/>
            <w:shd w:val="clear" w:color="auto" w:fill="DEEAF1"/>
          </w:tcPr>
          <w:p>
            <w:r/>
            <w:r>
              <w:t>—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Désactive l'agent Active Inference (LLM_ONLY uniquement)</w:t>
            </w:r>
          </w:p>
        </w:tc>
      </w:tr>
      <w:tr>
        <w:tc>
          <w:tcPr>
            <w:tcW w:type="dxa" w:w="2928"/>
          </w:tcPr>
          <w:p>
            <w:r/>
            <w:r/>
            <w:r>
              <w:rPr>
                <w:rFonts w:ascii="Courier New" w:hAnsi="Courier New"/>
                <w:sz w:val="17"/>
              </w:rPr>
              <w:t>--max-iters</w:t>
            </w:r>
            <w:r/>
          </w:p>
        </w:tc>
        <w:tc>
          <w:tcPr>
            <w:tcW w:type="dxa" w:w="2928"/>
          </w:tcPr>
          <w:p>
            <w:r/>
            <w:r/>
            <w:r>
              <w:rPr>
                <w:rFonts w:ascii="Courier New" w:hAnsi="Courier New"/>
                <w:sz w:val="17"/>
              </w:rPr>
              <w:t>3</w:t>
            </w:r>
            <w:r/>
          </w:p>
        </w:tc>
        <w:tc>
          <w:tcPr>
            <w:tcW w:type="dxa" w:w="2928"/>
          </w:tcPr>
          <w:p>
            <w:r/>
            <w:r>
              <w:t>Nombre total d'itérations par mode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--warmup-iters</w:t>
            </w:r>
            <w:r/>
          </w:p>
        </w:tc>
        <w:tc>
          <w:tcPr>
            <w:tcW w:type="dxa" w:w="2928"/>
            <w:shd w:val="clear" w:color="auto" w:fill="DEEAF1"/>
          </w:tcPr>
          <w:p>
            <w:r/>
            <w:r/>
            <w:r>
              <w:rPr>
                <w:rFonts w:ascii="Courier New" w:hAnsi="Courier New"/>
                <w:sz w:val="17"/>
              </w:rPr>
              <w:t>1</w:t>
            </w:r>
            <w:r/>
          </w:p>
        </w:tc>
        <w:tc>
          <w:tcPr>
            <w:tcW w:type="dxa" w:w="2928"/>
            <w:shd w:val="clear" w:color="auto" w:fill="DEEAF1"/>
          </w:tcPr>
          <w:p>
            <w:r/>
            <w:r>
              <w:t xml:space="preserve">Itérations initiales exclues des statistiques (tagged </w:t>
            </w:r>
            <w:r>
              <w:rPr>
                <w:rFonts w:ascii="Courier New" w:hAnsi="Courier New"/>
                <w:sz w:val="17"/>
              </w:rPr>
              <w:t>WARMUP</w:t>
            </w:r>
            <w:r>
              <w:t xml:space="preserve"> dans le CSV)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Référence</w:t>
      </w:r>
    </w:p>
    <w:p>
      <w:pPr/>
      <w:r>
        <w:t xml:space="preserve">Cadre théorique : </w:t>
      </w:r>
      <w:r>
        <w:rPr>
          <w:b/>
        </w:rPr>
        <w:t>CIITR</w:t>
      </w:r>
      <w:r>
        <w:t xml:space="preserve"> — Tor-Ståle Hansen, Note théorique n°2–2026.</w:t>
      </w:r>
    </w:p>
    <w:p>
      <w:pPr/>
      <w:r>
        <w:t>Examples :</w:t>
      </w:r>
    </w:p>
    <w:p>
      <w:pPr/>
      <w:r>
        <w:t>--- Phi/E comparison ---</w:t>
      </w:r>
    </w:p>
    <w:p>
      <w:pPr/>
      <w:r>
        <w:t xml:space="preserve">  LLM-only  Phi/E=26.6772/kJ  energy=935.879J  accepted=2</w:t>
      </w:r>
    </w:p>
    <w:p>
      <w:pPr/>
      <w:r>
        <w:t xml:space="preserve">  LLM+AI    Phi/E=0.7215/kJ  energy=28611.195J  accepted=2</w:t>
      </w:r>
    </w:p>
    <w:p>
      <w:pPr/>
      <w:r>
        <w:t xml:space="preserve">  Phi/E ratio (AI/LLM): 0.03x  -&gt;  [WORSE]   -97.3%  — AI context degraded the solution</w:t>
      </w:r>
    </w:p>
    <w:p>
      <w:pPr/>
      <w:r>
        <w:t xml:space="preserve">  Diagnosis: pattern 'Singleton' detected with confidence 1.00 but AI suggestion may have over-constrained the LLM output</w:t>
      </w:r>
    </w:p>
    <w:p>
      <w:pPr/>
      <w:r>
        <w:t xml:space="preserve">  AI detected : Singleton  (confidence=1.00)  top3=['Singleton', 'AbstractFactory', 'FactoryMethod']</w:t>
      </w:r>
    </w:p>
    <w:p>
      <w:pPr/>
      <w:r>
        <w:t xml:space="preserve">  Rg (mean VFE): 0.6846  |  Rg &gt; 0: True  — belief update active</w:t>
      </w:r>
    </w:p>
    <w:p>
      <w:pPr/>
      <w:r>
        <w:t xml:space="preserve">  PlantUML (AI): results\GOF-001_AI.puml</w:t>
      </w:r>
    </w:p>
    <w:p>
      <w:pPr/>
      <w:r>
        <w:t xml:space="preserve">  PlantUML (LLM): results\GOF-001_LLM.puml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Generated Diagrams — GOF-001</w:t>
      </w:r>
    </w:p>
    <w:p>
      <w:pPr/>
      <w:r/>
      <w:r>
        <w:rPr>
          <w:b/>
        </w:rPr>
        <w:t>LLM_AI (With Active Inference)</w:t>
      </w:r>
      <w:r/>
    </w:p>
    <w:p>
      <w:pPr/>
      <w:r>
        <w:t>![GOF-001 AI](images/GOF-001_AI.png)</w:t>
      </w:r>
    </w:p>
    <w:p>
      <w:pPr/>
      <w:r/>
      <w:r>
        <w:rPr>
          <w:b/>
        </w:rPr>
        <w:t>LLM_ONLY</w:t>
      </w:r>
      <w:r/>
    </w:p>
    <w:p>
      <w:pPr/>
      <w:r>
        <w:t>![GOF-001 LLM](images/GOF-001_LLM.png)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C2TR — Theoretical Position Paper (English)</w:t>
      </w:r>
    </w:p>
    <w:p>
      <w:pPr/>
      <w:r/>
      <w:r>
        <w:rPr>
          <w:b/>
        </w:rPr>
        <w:t>Author:</w:t>
      </w:r>
      <w:r>
        <w:t xml:space="preserve"> Tor-Ståle Hansen | CIITR-METAINT | December 2025</w:t>
      </w:r>
    </w:p>
    <w:p>
      <w:pPr/>
      <w:r/>
      <w:r>
        <w:rPr>
          <w:b/>
        </w:rPr>
        <w:t>Title:</w:t>
      </w:r>
      <w:r>
        <w:t xml:space="preserve"> </w:t>
      </w:r>
      <w:r>
        <w:rPr>
          <w:i/>
        </w:rPr>
        <w:t>The Future Is Not the Cloud – The Future Is Your Own Context, Running on Your Own Silicon</w:t>
      </w:r>
      <w:r/>
    </w:p>
    <w:p>
      <w:pPr>
        <w:pStyle w:val="Heading3"/>
      </w:pPr>
      <w:r>
        <w:t>Central Thesis</w:t>
      </w:r>
    </w:p>
    <w:p>
      <w:pPr/>
      <w:r>
        <w:t xml:space="preserve">Local, deterministic inference is the </w:t>
      </w:r>
      <w:r>
        <w:rPr>
          <w:b/>
        </w:rPr>
        <w:t>only valid configuration</w:t>
      </w:r>
      <w:r>
        <w:t xml:space="preserve"> for governable AI comprehension. Cloud inference is classified as epistemically inadmissible because:</w:t>
      </w:r>
    </w:p>
    <w:p>
      <w:pPr>
        <w:pStyle w:val="ListBullet"/>
      </w:pPr>
      <w:r/>
      <w:r>
        <w:rPr>
          <w:rFonts w:ascii="Courier New" w:hAnsi="Courier New"/>
          <w:sz w:val="18"/>
        </w:rPr>
        <w:t>Rᵍ → 0</w:t>
      </w:r>
      <w:r>
        <w:t xml:space="preserve"> (no rhythmic coherence)</w:t>
      </w:r>
    </w:p>
    <w:p>
      <w:pPr>
        <w:pStyle w:val="ListBullet"/>
      </w:pPr>
      <w:r>
        <w:t>CPJ is unmeasurable (opaque energy)</w:t>
      </w:r>
    </w:p>
    <w:p>
      <w:pPr>
        <w:pStyle w:val="ListBullet"/>
      </w:pPr>
      <w:r>
        <w:t>Φᵢ is fragmented (untraceable symbolic integration)</w:t>
      </w:r>
    </w:p>
    <w:p>
      <w:pPr>
        <w:pStyle w:val="Heading3"/>
      </w:pPr>
      <w:r>
        <w:t>Key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Cᵢ = Φᵢ × Rᵍ</w:t>
            </w:r>
            <w:r/>
          </w:p>
        </w:tc>
        <w:tc>
          <w:tcPr>
            <w:tcW w:type="dxa" w:w="4392"/>
          </w:tcPr>
          <w:p>
            <w:r/>
            <w:r>
              <w:t>Comprehension = structural integration × rhythmic coherence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b/>
              </w:rPr>
              <w:t>CPJ</w:t>
            </w:r>
            <w:r/>
          </w:p>
        </w:tc>
        <w:tc>
          <w:tcPr>
            <w:tcW w:type="dxa" w:w="4392"/>
            <w:shd w:val="clear" w:color="auto" w:fill="DEEAF1"/>
          </w:tcPr>
          <w:p>
            <w:r/>
            <w:r>
              <w:t>Comprehension Per Joule = Cᵢ / E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LISS</w:t>
            </w:r>
            <w:r/>
          </w:p>
        </w:tc>
        <w:tc>
          <w:tcPr>
            <w:tcW w:type="dxa" w:w="4392"/>
          </w:tcPr>
          <w:p>
            <w:r/>
            <w:r>
              <w:t>Global instruction standard (epistemic OS)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b/>
              </w:rPr>
              <w:t>PSIS</w:t>
            </w:r>
            <w:r/>
          </w:p>
        </w:tc>
        <w:tc>
          <w:tcPr>
            <w:tcW w:type="dxa" w:w="4392"/>
            <w:shd w:val="clear" w:color="auto" w:fill="DEEAF1"/>
          </w:tcPr>
          <w:p>
            <w:r/>
            <w:r>
              <w:t>Per-session override (local constraints)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METAINT</w:t>
            </w:r>
            <w:r/>
          </w:p>
        </w:tc>
        <w:tc>
          <w:tcPr>
            <w:tcW w:type="dxa" w:w="4392"/>
          </w:tcPr>
          <w:p>
            <w:r/>
            <w:r>
              <w:t>Structural observability doctrine (rhythm, absence, structure)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b/>
              </w:rPr>
              <w:t>Type A</w:t>
            </w:r>
            <w:r/>
          </w:p>
        </w:tc>
        <w:tc>
          <w:tcPr>
            <w:tcW w:type="dxa" w:w="4392"/>
            <w:shd w:val="clear" w:color="auto" w:fill="DEEAF1"/>
          </w:tcPr>
          <w:p>
            <w:r/>
            <w:r>
              <w:t>Local, deterministic inference — Rᵍ &gt; 0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Type B</w:t>
            </w:r>
            <w:r/>
          </w:p>
        </w:tc>
        <w:tc>
          <w:tcPr>
            <w:tcW w:type="dxa" w:w="4392"/>
          </w:tcPr>
          <w:p>
            <w:r/>
            <w:r>
              <w:t>Cloud LLM, stochastic — Rᵍ ≈ 0</w:t>
            </w:r>
          </w:p>
        </w:tc>
      </w:tr>
    </w:tbl>
    <w:p/>
    <w:p>
      <w:pPr>
        <w:pStyle w:val="Heading3"/>
      </w:pPr>
      <w:r>
        <w:t>Documented Case Study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Local (M2 + llama.cpp)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Cloud (GPT-4 API)</w:t>
            </w:r>
          </w:p>
        </w:tc>
      </w:tr>
      <w:tr>
        <w:tc>
          <w:tcPr>
            <w:tcW w:type="dxa" w:w="2928"/>
          </w:tcPr>
          <w:p>
            <w:r/>
            <w:r>
              <w:t>CPJ</w:t>
            </w:r>
          </w:p>
        </w:tc>
        <w:tc>
          <w:tcPr>
            <w:tcW w:type="dxa" w:w="2928"/>
          </w:tcPr>
          <w:p>
            <w:r/>
            <w:r/>
            <w:r>
              <w:rPr>
                <w:b/>
              </w:rPr>
              <w:t>0.287 relations/joule</w:t>
            </w:r>
            <w:r/>
          </w:p>
        </w:tc>
        <w:tc>
          <w:tcPr>
            <w:tcW w:type="dxa" w:w="2928"/>
          </w:tcPr>
          <w:p>
            <w:r/>
            <w:r>
              <w:t>Not measurable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Rᵍ stability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Stable across 30 cycles (&lt; 2% jitter)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Interrupted / degraded</w:t>
            </w:r>
          </w:p>
        </w:tc>
      </w:tr>
      <w:tr>
        <w:tc>
          <w:tcPr>
            <w:tcW w:type="dxa" w:w="2928"/>
          </w:tcPr>
          <w:p>
            <w:r/>
            <w:r>
              <w:t>PSIS compliance</w:t>
            </w:r>
          </w:p>
        </w:tc>
        <w:tc>
          <w:tcPr>
            <w:tcW w:type="dxa" w:w="2928"/>
          </w:tcPr>
          <w:p>
            <w:r/>
            <w:r>
              <w:t>100% over 42 prompt–response pairs</w:t>
            </w:r>
          </w:p>
        </w:tc>
        <w:tc>
          <w:tcPr>
            <w:tcW w:type="dxa" w:w="2928"/>
          </w:tcPr>
          <w:p>
            <w:r/>
            <w:r>
              <w:t>~70% (non-auditable)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METAINT observability score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0.94 / 1.00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0.23 / 1.00</w:t>
            </w:r>
          </w:p>
        </w:tc>
      </w:tr>
      <w:tr>
        <w:tc>
          <w:tcPr>
            <w:tcW w:type="dxa" w:w="2928"/>
          </w:tcPr>
          <w:p>
            <w:r/>
            <w:r>
              <w:t>Referential drift events</w:t>
            </w:r>
          </w:p>
        </w:tc>
        <w:tc>
          <w:tcPr>
            <w:tcW w:type="dxa" w:w="2928"/>
          </w:tcPr>
          <w:p>
            <w:r/>
            <w:r>
              <w:t>0</w:t>
            </w:r>
          </w:p>
        </w:tc>
        <w:tc>
          <w:tcPr>
            <w:tcW w:type="dxa" w:w="2928"/>
          </w:tcPr>
          <w:p>
            <w:r/>
            <w:r>
              <w:t>3 (in 7 cycles)</w:t>
            </w:r>
          </w:p>
        </w:tc>
      </w:tr>
    </w:tbl>
    <w:p/>
    <w:p>
      <w:pPr>
        <w:pStyle w:val="Heading3"/>
      </w:pPr>
      <w:r>
        <w:t>Link to gof2-llm</w:t>
      </w:r>
    </w:p>
    <w:p>
      <w:pPr/>
      <w:r>
        <w:t>C2TR is the theoretical foundation justifying the LLM_ONLY vs LLM_AI benchmark:</w:t>
      </w:r>
    </w:p>
    <w:p>
      <w:pPr>
        <w:pStyle w:val="ListBullet"/>
      </w:pPr>
      <w:r/>
      <w:r>
        <w:rPr>
          <w:b/>
        </w:rPr>
        <w:t>LLM_ONLY → Type B</w:t>
      </w:r>
      <w:r>
        <w:t xml:space="preserve"> (Rᵍ ≈ 0): the LLM responds without updating beliefs during inference</w:t>
      </w:r>
    </w:p>
    <w:p>
      <w:pPr>
        <w:pStyle w:val="ListBullet"/>
      </w:pPr>
      <w:r/>
      <w:r>
        <w:rPr>
          <w:b/>
        </w:rPr>
        <w:t>LLM_AI → Type A</w:t>
      </w:r>
      <w:r>
        <w:t xml:space="preserve"> (Rᵍ &gt; 0): the Active Inference agent updates </w:t>
      </w:r>
      <w:r>
        <w:rPr>
          <w:rFonts w:ascii="Courier New" w:hAnsi="Courier New"/>
          <w:sz w:val="18"/>
        </w:rPr>
        <w:t>_posterior</w:t>
      </w:r>
      <w:r>
        <w:t xml:space="preserve"> at each </w:t>
      </w:r>
      <w:r>
        <w:rPr>
          <w:rFonts w:ascii="Courier New" w:hAnsi="Courier New"/>
          <w:sz w:val="18"/>
        </w:rPr>
        <w:t>observe_keyword</w:t>
      </w:r>
      <w:r>
        <w:t xml:space="preserve"> call, instantiating the epistemic rhythm claimed by CIITR</w:t>
      </w:r>
    </w:p>
    <w:p>
      <w:pPr/>
      <w:r>
        <w:t>The project's central hypothesis (CPJ_AI ≥ CPJ_LLM) is the empirical demonstration of Type A architectural superiority over Type B under this doctrine.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C2TR — Document de position théorique (Français)</w:t>
      </w:r>
    </w:p>
    <w:p>
      <w:pPr/>
      <w:r/>
      <w:r>
        <w:rPr>
          <w:b/>
        </w:rPr>
        <w:t>Auteur :</w:t>
      </w:r>
      <w:r>
        <w:t xml:space="preserve"> Tor-Ståle Hansen | CIITR-METAINT | Décembre 2025</w:t>
      </w:r>
    </w:p>
    <w:p>
      <w:pPr/>
      <w:r/>
      <w:r>
        <w:rPr>
          <w:b/>
        </w:rPr>
        <w:t>Titre :</w:t>
      </w:r>
      <w:r>
        <w:t xml:space="preserve"> </w:t>
      </w:r>
      <w:r>
        <w:rPr>
          <w:i/>
        </w:rPr>
        <w:t>The Future Is Not the Cloud – The Future Is Your Own Context, Running on Your Own Silicon</w:t>
      </w:r>
      <w:r/>
    </w:p>
    <w:p>
      <w:pPr>
        <w:pStyle w:val="Heading3"/>
      </w:pPr>
      <w:r>
        <w:t>Thèse centrale</w:t>
      </w:r>
    </w:p>
    <w:p>
      <w:pPr/>
      <w:r>
        <w:t xml:space="preserve">L'inférence locale et déterministe est la </w:t>
      </w:r>
      <w:r>
        <w:rPr>
          <w:b/>
        </w:rPr>
        <w:t>seule configuration valide</w:t>
      </w:r>
      <w:r>
        <w:t xml:space="preserve"> pour une compréhension IA gouvernable. L'inférence cloud est classée comme épistémiquement inadmissible car :</w:t>
      </w:r>
    </w:p>
    <w:p>
      <w:pPr>
        <w:pStyle w:val="ListBullet"/>
      </w:pPr>
      <w:r/>
      <w:r>
        <w:rPr>
          <w:rFonts w:ascii="Courier New" w:hAnsi="Courier New"/>
          <w:sz w:val="18"/>
        </w:rPr>
        <w:t>Rᵍ → 0</w:t>
      </w:r>
      <w:r>
        <w:t xml:space="preserve"> (pas de cohérence rythmique)</w:t>
      </w:r>
    </w:p>
    <w:p>
      <w:pPr>
        <w:pStyle w:val="ListBullet"/>
      </w:pPr>
      <w:r>
        <w:t>CPJ non mesurable (énergie opaque)</w:t>
      </w:r>
    </w:p>
    <w:p>
      <w:pPr>
        <w:pStyle w:val="ListBullet"/>
      </w:pPr>
      <w:r>
        <w:t>Φᵢ fragmenté (intégration symbolique non traçable)</w:t>
      </w:r>
    </w:p>
    <w:p>
      <w:pPr>
        <w:pStyle w:val="Heading3"/>
      </w:pPr>
      <w:r>
        <w:t>Concepts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392"/>
            <w:shd w:val="clear" w:color="auto" w:fill="2E74B5"/>
          </w:tcPr>
          <w:p>
            <w:r/>
            <w:r>
              <w:rPr>
                <w:b/>
                <w:color w:val="FFFFFF"/>
              </w:rPr>
              <w:t>Définition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Cᵢ = Φᵢ × Rᵍ</w:t>
            </w:r>
            <w:r/>
          </w:p>
        </w:tc>
        <w:tc>
          <w:tcPr>
            <w:tcW w:type="dxa" w:w="4392"/>
          </w:tcPr>
          <w:p>
            <w:r/>
            <w:r>
              <w:t>Compréhension = intégration structurelle × cohérence rythmique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b/>
              </w:rPr>
              <w:t>CPJ</w:t>
            </w:r>
            <w:r/>
          </w:p>
        </w:tc>
        <w:tc>
          <w:tcPr>
            <w:tcW w:type="dxa" w:w="4392"/>
            <w:shd w:val="clear" w:color="auto" w:fill="DEEAF1"/>
          </w:tcPr>
          <w:p>
            <w:r/>
            <w:r>
              <w:t>Compréhension par Joule = Cᵢ / E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LISS</w:t>
            </w:r>
            <w:r/>
          </w:p>
        </w:tc>
        <w:tc>
          <w:tcPr>
            <w:tcW w:type="dxa" w:w="4392"/>
          </w:tcPr>
          <w:p>
            <w:r/>
            <w:r>
              <w:t>Standard d'instruction global (OS épistémique)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b/>
              </w:rPr>
              <w:t>PSIS</w:t>
            </w:r>
            <w:r/>
          </w:p>
        </w:tc>
        <w:tc>
          <w:tcPr>
            <w:tcW w:type="dxa" w:w="4392"/>
            <w:shd w:val="clear" w:color="auto" w:fill="DEEAF1"/>
          </w:tcPr>
          <w:p>
            <w:r/>
            <w:r>
              <w:t>Override par session (contraintes locales)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METAINT</w:t>
            </w:r>
            <w:r/>
          </w:p>
        </w:tc>
        <w:tc>
          <w:tcPr>
            <w:tcW w:type="dxa" w:w="4392"/>
          </w:tcPr>
          <w:p>
            <w:r/>
            <w:r>
              <w:t>Doctrine d'observabilité structurelle (rythme, absence, structure)</w:t>
            </w:r>
          </w:p>
        </w:tc>
      </w:tr>
      <w:tr>
        <w:tc>
          <w:tcPr>
            <w:tcW w:type="dxa" w:w="4392"/>
            <w:shd w:val="clear" w:color="auto" w:fill="DEEAF1"/>
          </w:tcPr>
          <w:p>
            <w:r/>
            <w:r/>
            <w:r>
              <w:rPr>
                <w:b/>
              </w:rPr>
              <w:t>Type A</w:t>
            </w:r>
            <w:r/>
          </w:p>
        </w:tc>
        <w:tc>
          <w:tcPr>
            <w:tcW w:type="dxa" w:w="4392"/>
            <w:shd w:val="clear" w:color="auto" w:fill="DEEAF1"/>
          </w:tcPr>
          <w:p>
            <w:r/>
            <w:r>
              <w:t>Inférence locale, déterministe — Rᵍ &gt; 0</w:t>
            </w:r>
          </w:p>
        </w:tc>
      </w:tr>
      <w:tr>
        <w:tc>
          <w:tcPr>
            <w:tcW w:type="dxa" w:w="4392"/>
          </w:tcPr>
          <w:p>
            <w:r/>
            <w:r/>
            <w:r>
              <w:rPr>
                <w:b/>
              </w:rPr>
              <w:t>Type B</w:t>
            </w:r>
            <w:r/>
          </w:p>
        </w:tc>
        <w:tc>
          <w:tcPr>
            <w:tcW w:type="dxa" w:w="4392"/>
          </w:tcPr>
          <w:p>
            <w:r/>
            <w:r>
              <w:t>LLM cloud, stochastique — Rᵍ ≈ 0</w:t>
            </w:r>
          </w:p>
        </w:tc>
      </w:tr>
    </w:tbl>
    <w:p/>
    <w:p>
      <w:pPr>
        <w:pStyle w:val="Heading3"/>
      </w:pPr>
      <w:r>
        <w:t>Étude de cas documentée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Métrique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Local (M2 + llama.cpp)</w:t>
            </w:r>
          </w:p>
        </w:tc>
        <w:tc>
          <w:tcPr>
            <w:tcW w:type="dxa" w:w="2928"/>
            <w:shd w:val="clear" w:color="auto" w:fill="2E74B5"/>
          </w:tcPr>
          <w:p>
            <w:r/>
            <w:r>
              <w:rPr>
                <w:b/>
                <w:color w:val="FFFFFF"/>
              </w:rPr>
              <w:t>Cloud (GPT-4 API)</w:t>
            </w:r>
          </w:p>
        </w:tc>
      </w:tr>
      <w:tr>
        <w:tc>
          <w:tcPr>
            <w:tcW w:type="dxa" w:w="2928"/>
          </w:tcPr>
          <w:p>
            <w:r/>
            <w:r>
              <w:t>CPJ</w:t>
            </w:r>
          </w:p>
        </w:tc>
        <w:tc>
          <w:tcPr>
            <w:tcW w:type="dxa" w:w="2928"/>
          </w:tcPr>
          <w:p>
            <w:r/>
            <w:r/>
            <w:r>
              <w:rPr>
                <w:b/>
              </w:rPr>
              <w:t>0.287 relations/joule</w:t>
            </w:r>
            <w:r/>
          </w:p>
        </w:tc>
        <w:tc>
          <w:tcPr>
            <w:tcW w:type="dxa" w:w="2928"/>
          </w:tcPr>
          <w:p>
            <w:r/>
            <w:r>
              <w:t>Non calculable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Stabilité Rᵍ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Stable sur 30 cycles (jitter &lt; 2%)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Interrompu / dégradé</w:t>
            </w:r>
          </w:p>
        </w:tc>
      </w:tr>
      <w:tr>
        <w:tc>
          <w:tcPr>
            <w:tcW w:type="dxa" w:w="2928"/>
          </w:tcPr>
          <w:p>
            <w:r/>
            <w:r>
              <w:t>Conformité PSIS</w:t>
            </w:r>
          </w:p>
        </w:tc>
        <w:tc>
          <w:tcPr>
            <w:tcW w:type="dxa" w:w="2928"/>
          </w:tcPr>
          <w:p>
            <w:r/>
            <w:r>
              <w:t>100% sur 42 paires prompt/réponse</w:t>
            </w:r>
          </w:p>
        </w:tc>
        <w:tc>
          <w:tcPr>
            <w:tcW w:type="dxa" w:w="2928"/>
          </w:tcPr>
          <w:p>
            <w:r/>
            <w:r>
              <w:t>~70% (non auditable)</w:t>
            </w:r>
          </w:p>
        </w:tc>
      </w:tr>
      <w:tr>
        <w:tc>
          <w:tcPr>
            <w:tcW w:type="dxa" w:w="2928"/>
            <w:shd w:val="clear" w:color="auto" w:fill="DEEAF1"/>
          </w:tcPr>
          <w:p>
            <w:r/>
            <w:r>
              <w:t>Score observabilité METAINT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0.94 / 1.00</w:t>
            </w:r>
          </w:p>
        </w:tc>
        <w:tc>
          <w:tcPr>
            <w:tcW w:type="dxa" w:w="2928"/>
            <w:shd w:val="clear" w:color="auto" w:fill="DEEAF1"/>
          </w:tcPr>
          <w:p>
            <w:r/>
            <w:r>
              <w:t>0.23 / 1.00</w:t>
            </w:r>
          </w:p>
        </w:tc>
      </w:tr>
      <w:tr>
        <w:tc>
          <w:tcPr>
            <w:tcW w:type="dxa" w:w="2928"/>
          </w:tcPr>
          <w:p>
            <w:r/>
            <w:r>
              <w:t>Événements de dérive référentielle</w:t>
            </w:r>
          </w:p>
        </w:tc>
        <w:tc>
          <w:tcPr>
            <w:tcW w:type="dxa" w:w="2928"/>
          </w:tcPr>
          <w:p>
            <w:r/>
            <w:r>
              <w:t>0</w:t>
            </w:r>
          </w:p>
        </w:tc>
        <w:tc>
          <w:tcPr>
            <w:tcW w:type="dxa" w:w="2928"/>
          </w:tcPr>
          <w:p>
            <w:r/>
            <w:r>
              <w:t>3 (sur 7 cycles)</w:t>
            </w:r>
          </w:p>
        </w:tc>
      </w:tr>
    </w:tbl>
    <w:p/>
    <w:p>
      <w:pPr>
        <w:pStyle w:val="Heading3"/>
      </w:pPr>
      <w:r>
        <w:t>Lien avec gof2-llm</w:t>
      </w:r>
    </w:p>
    <w:p>
      <w:pPr/>
      <w:r>
        <w:t>C2TR est le cadre théorique qui justifie le benchmark LLM_ONLY vs LLM_AI :</w:t>
      </w:r>
    </w:p>
    <w:p>
      <w:pPr>
        <w:pStyle w:val="ListBullet"/>
      </w:pPr>
      <w:r/>
      <w:r>
        <w:rPr>
          <w:b/>
        </w:rPr>
        <w:t>LLM_ONLY → Type B</w:t>
      </w:r>
      <w:r>
        <w:t xml:space="preserve"> (Rᵍ ≈ 0) : le LLM répond sans mise à jour de croyances pendant l'inférence</w:t>
      </w:r>
    </w:p>
    <w:p>
      <w:pPr>
        <w:pStyle w:val="ListBullet"/>
      </w:pPr>
      <w:r/>
      <w:r>
        <w:rPr>
          <w:b/>
        </w:rPr>
        <w:t>LLM_AI → Type A</w:t>
      </w:r>
      <w:r>
        <w:t xml:space="preserve"> (Rᵍ &gt; 0) : l'agent Active Inference met à jour </w:t>
      </w:r>
      <w:r>
        <w:rPr>
          <w:rFonts w:ascii="Courier New" w:hAnsi="Courier New"/>
          <w:sz w:val="18"/>
        </w:rPr>
        <w:t>_posterior</w:t>
      </w:r>
      <w:r>
        <w:t xml:space="preserve"> à chaque appel </w:t>
      </w:r>
      <w:r>
        <w:rPr>
          <w:rFonts w:ascii="Courier New" w:hAnsi="Courier New"/>
          <w:sz w:val="18"/>
        </w:rPr>
        <w:t>observe_keyword</w:t>
      </w:r>
      <w:r>
        <w:t>, instanciant le rythme épistémique revendiqué par CIITR</w:t>
      </w:r>
    </w:p>
    <w:p>
      <w:pPr/>
      <w:r>
        <w:t>L'hypothèse centrale du projet (CPJ_AI ≥ CPJ_LLM) est directement la démonstration empirique de la supériorité de l'architecture Type A sur Type B selon cette doctrine.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