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5B9AB" w14:textId="77777777" w:rsidR="00121DE8" w:rsidRDefault="00000000">
      <w:pPr>
        <w:pStyle w:val="Ttulo"/>
      </w:pPr>
      <w:r>
        <w:t>Guía 3. Informe final Proyecto APT</w:t>
      </w:r>
    </w:p>
    <w:p w14:paraId="4130B614" w14:textId="77777777" w:rsidR="00121DE8" w:rsidRDefault="00000000">
      <w:r>
        <w:rPr>
          <w:color w:val="45536C"/>
        </w:rPr>
        <w:t>Fase 2 · NexusWST / WeStorage · Corte de avance durante Sprint 1 (octubre de 2026)</w:t>
      </w:r>
    </w:p>
    <w:p w14:paraId="04C5F8C2" w14:textId="77777777" w:rsidR="00121DE8" w:rsidRDefault="00000000">
      <w:pPr>
        <w:spacing w:before="100"/>
      </w:pPr>
      <w:r>
        <w:t>Avance a octubre de 2026: Sprint 0 concluido y Sprint 1 en cierre. Los resultados descritos corresponden a diseño, preparación técnica y planificación; no a un producto ya desplegado.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121DE8" w14:paraId="4EE80B96" w14:textId="77777777">
        <w:tc>
          <w:tcPr>
            <w:tcW w:w="5040" w:type="dxa"/>
            <w:tcBorders>
              <w:top w:val="single" w:sz="6" w:space="0" w:color="D7DEE7"/>
              <w:bottom w:val="single" w:sz="6" w:space="0" w:color="D7DEE7"/>
            </w:tcBorders>
            <w:shd w:val="clear" w:color="auto" w:fill="EDF3F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9E4D5A3" w14:textId="77777777" w:rsidR="00121DE8" w:rsidRDefault="00000000">
            <w:pPr>
              <w:spacing w:after="0" w:line="269" w:lineRule="auto"/>
            </w:pPr>
            <w:r>
              <w:rPr>
                <w:b/>
                <w:color w:val="1D3052"/>
                <w:sz w:val="18"/>
              </w:rPr>
              <w:t>Nombre del proyecto</w:t>
            </w:r>
          </w:p>
        </w:tc>
        <w:tc>
          <w:tcPr>
            <w:tcW w:w="5040" w:type="dxa"/>
            <w:tcBorders>
              <w:top w:val="single" w:sz="6" w:space="0" w:color="D7DEE7"/>
              <w:bottom w:val="single" w:sz="6" w:space="0" w:color="D7DEE7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AE499AC" w14:textId="77777777" w:rsidR="00121DE8" w:rsidRDefault="00000000">
            <w:pPr>
              <w:spacing w:after="0" w:line="269" w:lineRule="auto"/>
            </w:pPr>
            <w:r>
              <w:rPr>
                <w:color w:val="273244"/>
                <w:sz w:val="18"/>
              </w:rPr>
              <w:t>NexusWST — Modernización de We Manager para WeStorage</w:t>
            </w:r>
          </w:p>
        </w:tc>
      </w:tr>
      <w:tr w:rsidR="00121DE8" w14:paraId="74BD9D47" w14:textId="77777777">
        <w:tc>
          <w:tcPr>
            <w:tcW w:w="5040" w:type="dxa"/>
            <w:tcBorders>
              <w:top w:val="single" w:sz="6" w:space="0" w:color="D7DEE7"/>
              <w:bottom w:val="single" w:sz="6" w:space="0" w:color="D7DEE7"/>
            </w:tcBorders>
            <w:shd w:val="clear" w:color="auto" w:fill="EDF3F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7116ADC" w14:textId="77777777" w:rsidR="00121DE8" w:rsidRDefault="00000000">
            <w:pPr>
              <w:spacing w:after="0" w:line="269" w:lineRule="auto"/>
            </w:pPr>
            <w:r>
              <w:rPr>
                <w:b/>
                <w:color w:val="1D3052"/>
                <w:sz w:val="18"/>
              </w:rPr>
              <w:t>Áreas de desempeño</w:t>
            </w:r>
          </w:p>
        </w:tc>
        <w:tc>
          <w:tcPr>
            <w:tcW w:w="5040" w:type="dxa"/>
            <w:tcBorders>
              <w:top w:val="single" w:sz="6" w:space="0" w:color="D7DEE7"/>
              <w:bottom w:val="single" w:sz="6" w:space="0" w:color="D7DEE7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23D4CF2" w14:textId="77777777" w:rsidR="00121DE8" w:rsidRDefault="00000000">
            <w:pPr>
              <w:spacing w:after="0" w:line="269" w:lineRule="auto"/>
            </w:pPr>
            <w:r>
              <w:rPr>
                <w:color w:val="273244"/>
                <w:sz w:val="18"/>
              </w:rPr>
              <w:t>Ingeniería de requisitos, bases de datos, desarrollo backend/full-stack, arquitectura y calidad, gestión ágil.</w:t>
            </w:r>
          </w:p>
        </w:tc>
      </w:tr>
      <w:tr w:rsidR="00121DE8" w14:paraId="17D25710" w14:textId="77777777">
        <w:tc>
          <w:tcPr>
            <w:tcW w:w="5040" w:type="dxa"/>
            <w:tcBorders>
              <w:top w:val="single" w:sz="6" w:space="0" w:color="D7DEE7"/>
              <w:bottom w:val="single" w:sz="6" w:space="0" w:color="D7DEE7"/>
            </w:tcBorders>
            <w:shd w:val="clear" w:color="auto" w:fill="EDF3F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947A3EE" w14:textId="77777777" w:rsidR="00121DE8" w:rsidRDefault="00000000">
            <w:pPr>
              <w:spacing w:after="0" w:line="269" w:lineRule="auto"/>
            </w:pPr>
            <w:r>
              <w:rPr>
                <w:b/>
                <w:color w:val="1D3052"/>
                <w:sz w:val="18"/>
              </w:rPr>
              <w:t>Competencias</w:t>
            </w:r>
          </w:p>
        </w:tc>
        <w:tc>
          <w:tcPr>
            <w:tcW w:w="5040" w:type="dxa"/>
            <w:tcBorders>
              <w:top w:val="single" w:sz="6" w:space="0" w:color="D7DEE7"/>
              <w:bottom w:val="single" w:sz="6" w:space="0" w:color="D7DEE7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C68B41B" w14:textId="77777777" w:rsidR="00121DE8" w:rsidRDefault="00000000">
            <w:pPr>
              <w:spacing w:after="0" w:line="269" w:lineRule="auto"/>
            </w:pPr>
            <w:r>
              <w:rPr>
                <w:color w:val="273244"/>
                <w:sz w:val="18"/>
              </w:rPr>
              <w:t>C1: diseño y calidad de software; C2: soluciones de información; C3: ingeniería de requisitos; C4: gestión de proyectos; C5: diseño integral, seguridad y sostenibilidad.</w:t>
            </w:r>
          </w:p>
        </w:tc>
      </w:tr>
      <w:tr w:rsidR="00121DE8" w14:paraId="61007023" w14:textId="77777777">
        <w:tc>
          <w:tcPr>
            <w:tcW w:w="5040" w:type="dxa"/>
            <w:tcBorders>
              <w:top w:val="single" w:sz="6" w:space="0" w:color="D7DEE7"/>
              <w:bottom w:val="single" w:sz="6" w:space="0" w:color="D7DEE7"/>
            </w:tcBorders>
            <w:shd w:val="clear" w:color="auto" w:fill="EDF3F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B62BFD3" w14:textId="77777777" w:rsidR="00121DE8" w:rsidRDefault="00000000">
            <w:pPr>
              <w:spacing w:after="0" w:line="269" w:lineRule="auto"/>
            </w:pPr>
            <w:r>
              <w:rPr>
                <w:b/>
                <w:color w:val="1D3052"/>
                <w:sz w:val="18"/>
              </w:rPr>
              <w:t>Equipo</w:t>
            </w:r>
          </w:p>
        </w:tc>
        <w:tc>
          <w:tcPr>
            <w:tcW w:w="5040" w:type="dxa"/>
            <w:tcBorders>
              <w:top w:val="single" w:sz="6" w:space="0" w:color="D7DEE7"/>
              <w:bottom w:val="single" w:sz="6" w:space="0" w:color="D7DEE7"/>
            </w:tcBorders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665F8A4" w14:textId="7138451B" w:rsidR="00121DE8" w:rsidRDefault="00000000">
            <w:pPr>
              <w:spacing w:after="0" w:line="269" w:lineRule="auto"/>
            </w:pPr>
            <w:r>
              <w:rPr>
                <w:color w:val="273244"/>
                <w:sz w:val="18"/>
              </w:rPr>
              <w:t>Jean Carlos D</w:t>
            </w:r>
            <w:r w:rsidR="00547814">
              <w:rPr>
                <w:color w:val="273244"/>
                <w:sz w:val="18"/>
              </w:rPr>
              <w:t>i</w:t>
            </w:r>
            <w:r>
              <w:rPr>
                <w:color w:val="273244"/>
                <w:sz w:val="18"/>
              </w:rPr>
              <w:t>az P</w:t>
            </w:r>
            <w:r w:rsidR="00547814">
              <w:rPr>
                <w:color w:val="273244"/>
                <w:sz w:val="18"/>
              </w:rPr>
              <w:t>e</w:t>
            </w:r>
            <w:r>
              <w:rPr>
                <w:color w:val="273244"/>
                <w:sz w:val="18"/>
              </w:rPr>
              <w:t>rez y Cristopher Alberto Lobos Martínez.</w:t>
            </w:r>
          </w:p>
        </w:tc>
      </w:tr>
    </w:tbl>
    <w:p w14:paraId="68DAD045" w14:textId="77777777" w:rsidR="00121DE8" w:rsidRDefault="00000000">
      <w:pPr>
        <w:pStyle w:val="Ttulo1"/>
      </w:pPr>
      <w:r>
        <w:t>1. Relevancia del Proyecto APT</w:t>
      </w:r>
    </w:p>
    <w:p w14:paraId="2D74D3F0" w14:textId="77777777" w:rsidR="00121DE8" w:rsidRDefault="00000000">
      <w:r>
        <w:t>WeStorage presta servicios logísticos y usa We Manager para gestionar órdenes provenientes de canales de venta y coordinar su tratamiento con couriers e INVAS, el WMS externo. El acoplamiento de la solución actual dificulta el mantenimiento y la evolución. NexusWST propone una base modular que mejore el flujo de órdenes, la trazabilidad y el control de datos sin sustituir INVAS. Su relevancia está en aplicar ingeniería de requisitos, arquitectura, bases de datos y desarrollo de software a una necesidad empresarial real.</w:t>
      </w:r>
    </w:p>
    <w:p w14:paraId="75F3751A" w14:textId="77777777" w:rsidR="00121DE8" w:rsidRDefault="00000000">
      <w:pPr>
        <w:pStyle w:val="Ttulo1"/>
      </w:pPr>
      <w:r>
        <w:t>2. Objetivos</w:t>
      </w:r>
    </w:p>
    <w:p w14:paraId="17E05B43" w14:textId="77777777" w:rsidR="00121DE8" w:rsidRDefault="00000000">
      <w:r>
        <w:rPr>
          <w:b/>
          <w:color w:val="1D3052"/>
        </w:rPr>
        <w:t xml:space="preserve">Objetivo general. </w:t>
      </w:r>
      <w:r>
        <w:t>Diseñar e implementar progresivamente la base de NexusWST para gestionar órdenes de extremo a extremo, integrando módulos habilitadores, sistemas externos y controles de calidad acordados con WeStorage.</w:t>
      </w:r>
    </w:p>
    <w:p w14:paraId="1519D3B6" w14:textId="77777777" w:rsidR="00121DE8" w:rsidRDefault="00000000">
      <w:r>
        <w:t>Objetivos específicos:</w:t>
      </w:r>
    </w:p>
    <w:p w14:paraId="1ADBB3B4" w14:textId="77777777" w:rsidR="00121DE8" w:rsidRDefault="00000000">
      <w:pPr>
        <w:pStyle w:val="Listaconvietas"/>
      </w:pPr>
      <w:r>
        <w:t>Precisar los requerimientos y procesos de órdenes y sus reglas de negocio.</w:t>
      </w:r>
    </w:p>
    <w:p w14:paraId="7989B7E9" w14:textId="77777777" w:rsidR="00121DE8" w:rsidRDefault="00000000">
      <w:pPr>
        <w:pStyle w:val="Listaconvietas"/>
      </w:pPr>
      <w:r>
        <w:t>Establecer arquitectura 4+1, diseño de datos e integraciones con INVAS.</w:t>
      </w:r>
    </w:p>
    <w:p w14:paraId="33615656" w14:textId="77777777" w:rsidR="00121DE8" w:rsidRDefault="00000000">
      <w:pPr>
        <w:pStyle w:val="Listaconvietas"/>
      </w:pPr>
      <w:r>
        <w:t>Implementar progresivamente autenticación, Clientes, Productos y funcionalidades prioritarias de Órdenes.</w:t>
      </w:r>
    </w:p>
    <w:p w14:paraId="383A0246" w14:textId="77777777" w:rsidR="00121DE8" w:rsidRDefault="00000000">
      <w:pPr>
        <w:pStyle w:val="Listaconvietas"/>
      </w:pPr>
      <w:r>
        <w:t>Preparar el entorno reproducible y aplicar criterios de calidad, validación y pruebas.</w:t>
      </w:r>
    </w:p>
    <w:p w14:paraId="247619E3" w14:textId="77777777" w:rsidR="00121DE8" w:rsidRDefault="00000000">
      <w:pPr>
        <w:pStyle w:val="Listaconvietas"/>
      </w:pPr>
      <w:r>
        <w:t>Controlar riesgos y evidencias mediante Scrum, Jira y validación con el cliente.</w:t>
      </w:r>
    </w:p>
    <w:p w14:paraId="61CBE6DD" w14:textId="77777777" w:rsidR="00121DE8" w:rsidRDefault="00000000">
      <w:pPr>
        <w:pStyle w:val="Ttulo1"/>
      </w:pPr>
      <w:r>
        <w:t>3. Metodología</w:t>
      </w:r>
    </w:p>
    <w:p w14:paraId="66649E79" w14:textId="77777777" w:rsidR="00121DE8" w:rsidRDefault="00000000">
      <w:r>
        <w:t>El equipo aplicó Scrum con seguimiento en Jira, reuniones de revisión con el cliente y retrospectivas internas. Sprint 0 cerró la comprensión del negocio y los diseños base; Sprint 1 completó gran parte de los artefactos y la infraestructura dockerizada. Las historias se redactaron con criterios de aceptación y se desglosaron en tareas con responsable y estimación. Para Sprint 2 (21/10–03/11) se definieron DoR/DoD y una meta de desarrollo incremental, con control de capacidad y dependencias. Este enfoque permite inspeccionar avances y ajustar el backlog sin asumir como terminadas funcionalidades no construidas.</w:t>
      </w:r>
    </w:p>
    <w:p w14:paraId="3D208144" w14:textId="77777777" w:rsidR="00121DE8" w:rsidRDefault="00000000">
      <w:pPr>
        <w:pStyle w:val="Ttulo1"/>
        <w:pageBreakBefore/>
      </w:pPr>
      <w:r>
        <w:lastRenderedPageBreak/>
        <w:t>4. Desarrollo, dificultades y ajustes</w:t>
      </w:r>
    </w:p>
    <w:p w14:paraId="230BEA77" w14:textId="77777777" w:rsidR="00121DE8" w:rsidRDefault="00000000">
      <w:pPr>
        <w:keepLines/>
      </w:pPr>
      <w:r>
        <w:rPr>
          <w:b/>
          <w:color w:val="1D3052"/>
        </w:rPr>
        <w:t xml:space="preserve">Actividades y resultados. </w:t>
      </w:r>
      <w:r>
        <w:t>Se elaboraron ERS, DAS y acta de constitución v1.0; BPMN As-Is y To-Be; casos de uso preliminares; vistas de arquitectura 4+1, diagramas de estados, componentes, despliegue y secuencia; matriz de permisos; y un esqueleto con Docker, Traefik, Redis y PostgreSQL. La planificación técnica incorpora 18 historias de usuario v1.0 y 129 tareas estimadas, con dos PERT para identificar dependencias. En la captura de Jira hay 10 de 12 tareas de Sprint 1 finalizadas. Mockups v0.5 siguen en curso y la validación del registro de decisiones v0.9 está pendiente.</w:t>
      </w:r>
    </w:p>
    <w:p w14:paraId="1B2EAC20" w14:textId="77777777" w:rsidR="00121DE8" w:rsidRDefault="00000000">
      <w:r>
        <w:rPr>
          <w:b/>
          <w:color w:val="1D3052"/>
        </w:rPr>
        <w:t xml:space="preserve">Decisiones y ajustes. </w:t>
      </w:r>
      <w:r>
        <w:t>La revisión del cliente respaldó el diseño general, Redis y colas para coordinar intercambios con INVAS. Se definió que los perfiles deben poder configurarse según las empresas clientes y que NexusWST no gestionará un perfil Picker, pues esa operación permanece en INVAS. La confirmación de ciertos flujos de couriers, estados y datos todavía depende de Ismael; estos puntos se controlan mediante el registro de decisiones y no se presentan como reglas cerradas.</w:t>
      </w:r>
    </w:p>
    <w:p w14:paraId="688E19BF" w14:textId="77777777" w:rsidR="00121DE8" w:rsidRDefault="00000000">
      <w:r>
        <w:rPr>
          <w:b/>
          <w:color w:val="1D3052"/>
        </w:rPr>
        <w:t xml:space="preserve">Siguiente etapa. </w:t>
      </w:r>
      <w:r>
        <w:t>Sprint 2 está planificado para implementar la base del frontend, inicio de sesión, usuarios y permisos, empresas, catálogo de productos y las primeras capacidades de órdenes: ingreso, validación y consulta de historial. H-06 (órdenes por canales externos) queda como reserva ante problemas de capacidad. A la fecha del informe no hay evidencia de APIs integradas, validación real completa con INVAS, pruebas de aceptación ejecutadas ni despliegue productivo.</w:t>
      </w:r>
    </w:p>
    <w:p w14:paraId="2E7E9139" w14:textId="77777777" w:rsidR="00121DE8" w:rsidRDefault="00000000">
      <w:pPr>
        <w:pStyle w:val="Ttulo1"/>
      </w:pPr>
      <w:r>
        <w:t>5. Evidencias</w:t>
      </w:r>
    </w:p>
    <w:p w14:paraId="48961392" w14:textId="77777777" w:rsidR="00121DE8" w:rsidRDefault="00000000">
      <w:r>
        <w:t>Las evidencias anexas acreditan documentación, seguimiento y planificación, no una entrega productiva. Como respaldo adicional se dispone de archivos de ERS/DAS y acta v1.0, casos de uso, historias v1.0, matriz de perfiles, PERT, tablero Jira y revisión/retrospectiva. La revisión final deberá añadir código, pruebas y resultados de integración cuando existan.</w:t>
      </w:r>
    </w:p>
    <w:p w14:paraId="4079960A" w14:textId="77777777" w:rsidR="00121DE8" w:rsidRDefault="00000000">
      <w:pPr>
        <w:pStyle w:val="Ttulo1"/>
      </w:pPr>
      <w:r>
        <w:t>6. Intereses y proyecciones profesionales</w:t>
      </w:r>
    </w:p>
    <w:p w14:paraId="137DDAD9" w14:textId="77777777" w:rsidR="00121DE8" w:rsidRDefault="00000000">
      <w:r>
        <w:t>El proyecto consolida el interés de Jean Carlos en desarrollo backend/full-stack, arquitectura y diseño de soluciones empresariales; su trabajo en documentación, diagramas, requerimientos y planificación aporta una visión integral del ciclo de software. Cristopher ha participado en procesos, comunicación con el cliente e infraestructura, áreas vinculadas con ingeniería y gestión. Como equipo se proyecta profundizar el desarrollo real, las integraciones, la calidad y las capacidades cloud, manteniendo el aprendizaje continuo.</w:t>
      </w:r>
    </w:p>
    <w:p w14:paraId="5E4168CF" w14:textId="77777777" w:rsidR="00121DE8" w:rsidRDefault="00000000">
      <w:pPr>
        <w:pStyle w:val="Ttulo1"/>
      </w:pPr>
      <w:r>
        <w:t>Referencias de trabajo</w:t>
      </w:r>
    </w:p>
    <w:p w14:paraId="0E5EACF6" w14:textId="77777777" w:rsidR="00121DE8" w:rsidRDefault="00000000">
      <w:r>
        <w:t>Guía 1 de Fase 1; Sprint Review y Sprint Retrospective; Sprint Planning 2; Historias de Usuario v1.0; Tareas de Historias de Usuario v1.0; Registro de decisiones v0.9; tableros de Jira; diagramas PERT.</w:t>
      </w:r>
    </w:p>
    <w:p w14:paraId="611E1216" w14:textId="77777777" w:rsidR="00121DE8" w:rsidRDefault="00121DE8">
      <w:pPr>
        <w:sectPr w:rsidR="00121DE8">
          <w:headerReference w:type="default" r:id="rId8"/>
          <w:footerReference w:type="default" r:id="rId9"/>
          <w:pgSz w:w="12240" w:h="15840"/>
          <w:pgMar w:top="1080" w:right="1080" w:bottom="950" w:left="1080" w:header="403" w:footer="432" w:gutter="0"/>
          <w:cols w:space="720"/>
          <w:docGrid w:linePitch="360"/>
        </w:sectPr>
      </w:pPr>
    </w:p>
    <w:p w14:paraId="59A8C316" w14:textId="5F154D63" w:rsidR="00121DE8" w:rsidRDefault="00000000">
      <w:pPr>
        <w:pStyle w:val="Ttulo1"/>
        <w:spacing w:before="0"/>
      </w:pPr>
      <w:r>
        <w:lastRenderedPageBreak/>
        <w:t>Anexo A.</w:t>
      </w:r>
      <w:r w:rsidR="00547814">
        <w:t>1</w:t>
      </w:r>
      <w:r>
        <w:t xml:space="preserve"> </w:t>
      </w:r>
      <w:proofErr w:type="spellStart"/>
      <w:r>
        <w:t>Seguimiento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Jira</w:t>
      </w:r>
    </w:p>
    <w:p w14:paraId="3A510ED1" w14:textId="77777777" w:rsidR="00121DE8" w:rsidRDefault="00000000">
      <w:r>
        <w:rPr>
          <w:i/>
          <w:color w:val="687282"/>
          <w:sz w:val="17"/>
        </w:rPr>
        <w:t>Sprint 1: 10 tareas finalizadas, mockups en curso y registro de decisiones pendiente.</w:t>
      </w:r>
    </w:p>
    <w:p w14:paraId="0B49F7AC" w14:textId="6235EED8" w:rsidR="00121DE8" w:rsidRDefault="00000000" w:rsidP="00547814">
      <w:pPr>
        <w:spacing w:before="140" w:after="40"/>
        <w:jc w:val="center"/>
      </w:pPr>
      <w:r>
        <w:rPr>
          <w:noProof/>
        </w:rPr>
        <w:drawing>
          <wp:inline distT="0" distB="0" distL="0" distR="0" wp14:anchorId="2545EE1E" wp14:editId="3EF26278">
            <wp:extent cx="7970919" cy="3048000"/>
            <wp:effectExtent l="0" t="0" r="0" b="0"/>
            <wp:docPr id="41849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8-04384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72142" cy="304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2D52" w14:textId="1D7D125B" w:rsidR="00547814" w:rsidRDefault="00547814" w:rsidP="00547814">
      <w:pPr>
        <w:pStyle w:val="Ttulo1"/>
        <w:spacing w:before="0"/>
      </w:pPr>
      <w:r>
        <w:t xml:space="preserve">Anexo A.2 </w:t>
      </w:r>
      <w:proofErr w:type="spellStart"/>
      <w:r>
        <w:t>Seguimiento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Jira</w:t>
      </w:r>
    </w:p>
    <w:p w14:paraId="61CD7C0F" w14:textId="0371E40F" w:rsidR="00547814" w:rsidRDefault="00547814">
      <w:r>
        <w:rPr>
          <w:i/>
          <w:color w:val="687282"/>
          <w:sz w:val="17"/>
        </w:rPr>
        <w:t>Sprint 2:</w:t>
      </w:r>
      <w:r w:rsidR="006C0D77">
        <w:rPr>
          <w:i/>
          <w:color w:val="687282"/>
          <w:sz w:val="17"/>
        </w:rPr>
        <w:t xml:space="preserve"> </w:t>
      </w:r>
      <w:proofErr w:type="spellStart"/>
      <w:r>
        <w:rPr>
          <w:i/>
          <w:color w:val="687282"/>
          <w:sz w:val="17"/>
        </w:rPr>
        <w:t>Planificacion</w:t>
      </w:r>
      <w:proofErr w:type="spellEnd"/>
      <w:r>
        <w:rPr>
          <w:i/>
          <w:color w:val="687282"/>
          <w:sz w:val="17"/>
        </w:rPr>
        <w:t xml:space="preserve"> del </w:t>
      </w:r>
      <w:proofErr w:type="spellStart"/>
      <w:r>
        <w:rPr>
          <w:i/>
          <w:color w:val="687282"/>
          <w:sz w:val="17"/>
        </w:rPr>
        <w:t>siguiente</w:t>
      </w:r>
      <w:proofErr w:type="spellEnd"/>
      <w:r>
        <w:rPr>
          <w:i/>
          <w:color w:val="687282"/>
          <w:sz w:val="17"/>
        </w:rPr>
        <w:t xml:space="preserve"> Sprint</w:t>
      </w:r>
    </w:p>
    <w:p w14:paraId="180296E0" w14:textId="1B30F4CE" w:rsidR="006C0D77" w:rsidRDefault="006C0D77" w:rsidP="006C0D77">
      <w:pPr>
        <w:jc w:val="center"/>
        <w:sectPr w:rsidR="006C0D77">
          <w:pgSz w:w="15840" w:h="12240" w:orient="landscape"/>
          <w:pgMar w:top="864" w:right="677" w:bottom="734" w:left="677" w:header="346" w:footer="389" w:gutter="0"/>
          <w:cols w:space="720"/>
          <w:docGrid w:linePitch="360"/>
        </w:sectPr>
      </w:pPr>
      <w:r w:rsidRPr="006C0D77">
        <w:drawing>
          <wp:inline distT="0" distB="0" distL="0" distR="0" wp14:anchorId="402C4094" wp14:editId="576CF59C">
            <wp:extent cx="8667750" cy="2613610"/>
            <wp:effectExtent l="0" t="0" r="0" b="0"/>
            <wp:docPr id="2132705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05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96287" cy="26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C46D" w14:textId="7A49B03C" w:rsidR="00121DE8" w:rsidRDefault="00000000">
      <w:pPr>
        <w:pStyle w:val="Ttulo1"/>
        <w:spacing w:before="0"/>
      </w:pPr>
      <w:r>
        <w:lastRenderedPageBreak/>
        <w:t>Anexo B.</w:t>
      </w:r>
      <w:r w:rsidR="00547814">
        <w:t>1</w:t>
      </w:r>
      <w:r>
        <w:t xml:space="preserve"> </w:t>
      </w:r>
      <w:proofErr w:type="spellStart"/>
      <w:r>
        <w:t>Planificación</w:t>
      </w:r>
      <w:proofErr w:type="spellEnd"/>
      <w:r>
        <w:t xml:space="preserve"> PERT (Sprint 0)</w:t>
      </w:r>
    </w:p>
    <w:p w14:paraId="06165428" w14:textId="77777777" w:rsidR="00121DE8" w:rsidRDefault="00000000">
      <w:r>
        <w:rPr>
          <w:i/>
          <w:color w:val="687282"/>
          <w:sz w:val="17"/>
        </w:rPr>
        <w:t>Evidencia de análisis y programación de dependencias.</w:t>
      </w:r>
    </w:p>
    <w:p w14:paraId="21A72BBE" w14:textId="77777777" w:rsidR="00121DE8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7871EDDB" wp14:editId="45BEF2C7">
            <wp:extent cx="8098797" cy="594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T Sprint 0 NexusW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98797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B835" w14:textId="77777777" w:rsidR="00547814" w:rsidRDefault="00547814">
      <w:pPr>
        <w:spacing w:before="140" w:after="40"/>
        <w:jc w:val="center"/>
      </w:pPr>
    </w:p>
    <w:p w14:paraId="13AFA1F4" w14:textId="389F833F" w:rsidR="00547814" w:rsidRDefault="00547814" w:rsidP="00547814">
      <w:pPr>
        <w:pStyle w:val="Ttulo1"/>
        <w:spacing w:before="0"/>
      </w:pPr>
      <w:r>
        <w:lastRenderedPageBreak/>
        <w:t xml:space="preserve">Anexo B.2 </w:t>
      </w:r>
      <w:proofErr w:type="spellStart"/>
      <w:r>
        <w:t>Planificación</w:t>
      </w:r>
      <w:proofErr w:type="spellEnd"/>
      <w:r>
        <w:t xml:space="preserve"> PERT </w:t>
      </w:r>
      <w:proofErr w:type="gramStart"/>
      <w:r>
        <w:t>Desarrollo(</w:t>
      </w:r>
      <w:proofErr w:type="gramEnd"/>
      <w:r>
        <w:t>Sprint 1,2,3)</w:t>
      </w:r>
    </w:p>
    <w:p w14:paraId="53E4D379" w14:textId="77777777" w:rsidR="00547814" w:rsidRDefault="00547814" w:rsidP="00547814">
      <w:proofErr w:type="spellStart"/>
      <w:r>
        <w:rPr>
          <w:i/>
          <w:color w:val="687282"/>
          <w:sz w:val="17"/>
        </w:rPr>
        <w:t>Evidencia</w:t>
      </w:r>
      <w:proofErr w:type="spellEnd"/>
      <w:r>
        <w:rPr>
          <w:i/>
          <w:color w:val="687282"/>
          <w:sz w:val="17"/>
        </w:rPr>
        <w:t xml:space="preserve"> de </w:t>
      </w:r>
      <w:proofErr w:type="spellStart"/>
      <w:r>
        <w:rPr>
          <w:i/>
          <w:color w:val="687282"/>
          <w:sz w:val="17"/>
        </w:rPr>
        <w:t>análisis</w:t>
      </w:r>
      <w:proofErr w:type="spellEnd"/>
      <w:r>
        <w:rPr>
          <w:i/>
          <w:color w:val="687282"/>
          <w:sz w:val="17"/>
        </w:rPr>
        <w:t xml:space="preserve"> y </w:t>
      </w:r>
      <w:proofErr w:type="spellStart"/>
      <w:r>
        <w:rPr>
          <w:i/>
          <w:color w:val="687282"/>
          <w:sz w:val="17"/>
        </w:rPr>
        <w:t>programación</w:t>
      </w:r>
      <w:proofErr w:type="spellEnd"/>
      <w:r>
        <w:rPr>
          <w:i/>
          <w:color w:val="687282"/>
          <w:sz w:val="17"/>
        </w:rPr>
        <w:t xml:space="preserve"> de </w:t>
      </w:r>
      <w:proofErr w:type="spellStart"/>
      <w:r>
        <w:rPr>
          <w:i/>
          <w:color w:val="687282"/>
          <w:sz w:val="17"/>
        </w:rPr>
        <w:t>dependencias</w:t>
      </w:r>
      <w:proofErr w:type="spellEnd"/>
      <w:r>
        <w:rPr>
          <w:i/>
          <w:color w:val="687282"/>
          <w:sz w:val="17"/>
        </w:rPr>
        <w:t>.</w:t>
      </w:r>
    </w:p>
    <w:p w14:paraId="0F24D943" w14:textId="7042A332" w:rsidR="00547814" w:rsidRDefault="00547814">
      <w:pPr>
        <w:spacing w:before="140" w:after="40"/>
        <w:jc w:val="center"/>
      </w:pPr>
      <w:r>
        <w:rPr>
          <w:noProof/>
        </w:rPr>
        <w:drawing>
          <wp:inline distT="0" distB="0" distL="0" distR="0" wp14:anchorId="1D13A1A3" wp14:editId="1F9D81BE">
            <wp:extent cx="9191625" cy="4333875"/>
            <wp:effectExtent l="0" t="0" r="9525" b="9525"/>
            <wp:docPr id="944929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162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7814" w:rsidSect="00034616">
      <w:pgSz w:w="15840" w:h="12240" w:orient="landscape"/>
      <w:pgMar w:top="864" w:right="677" w:bottom="734" w:left="677" w:header="346" w:footer="3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148B7" w14:textId="77777777" w:rsidR="00102F72" w:rsidRDefault="00102F72">
      <w:pPr>
        <w:spacing w:after="0" w:line="240" w:lineRule="auto"/>
      </w:pPr>
      <w:r>
        <w:separator/>
      </w:r>
    </w:p>
  </w:endnote>
  <w:endnote w:type="continuationSeparator" w:id="0">
    <w:p w14:paraId="01D4072D" w14:textId="77777777" w:rsidR="00102F72" w:rsidRDefault="00102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DECA5" w14:textId="77777777" w:rsidR="00121DE8" w:rsidRDefault="00000000">
    <w:pPr>
      <w:pStyle w:val="Piedepgina"/>
      <w:jc w:val="right"/>
    </w:pPr>
    <w:proofErr w:type="spellStart"/>
    <w:proofErr w:type="gramStart"/>
    <w:r>
      <w:rPr>
        <w:color w:val="687282"/>
        <w:sz w:val="16"/>
      </w:rPr>
      <w:t>NexusWST</w:t>
    </w:r>
    <w:proofErr w:type="spellEnd"/>
    <w:r>
      <w:rPr>
        <w:color w:val="687282"/>
        <w:sz w:val="16"/>
      </w:rPr>
      <w:t xml:space="preserve">  |</w:t>
    </w:r>
    <w:proofErr w:type="gramEnd"/>
    <w:r>
      <w:rPr>
        <w:color w:val="687282"/>
        <w:sz w:val="16"/>
      </w:rPr>
      <w:t xml:space="preserve">  Capstone - Fase </w:t>
    </w:r>
    <w:proofErr w:type="gramStart"/>
    <w:r>
      <w:rPr>
        <w:color w:val="687282"/>
        <w:sz w:val="16"/>
      </w:rPr>
      <w:t>2  |</w:t>
    </w:r>
    <w:proofErr w:type="gramEnd"/>
    <w:r>
      <w:rPr>
        <w:color w:val="687282"/>
        <w:sz w:val="16"/>
      </w:rPr>
      <w:t xml:space="preserve">  Página </w:t>
    </w:r>
    <w:r>
      <w:fldChar w:fldCharType="begin"/>
    </w:r>
    <w:r>
      <w:instrText>PAGE</w:instrText>
    </w:r>
    <w:r>
      <w:fldChar w:fldCharType="separate"/>
    </w:r>
    <w:r w:rsidR="0054781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66FF4" w14:textId="77777777" w:rsidR="00102F72" w:rsidRDefault="00102F72">
      <w:pPr>
        <w:spacing w:after="0" w:line="240" w:lineRule="auto"/>
      </w:pPr>
      <w:r>
        <w:separator/>
      </w:r>
    </w:p>
  </w:footnote>
  <w:footnote w:type="continuationSeparator" w:id="0">
    <w:p w14:paraId="0675553E" w14:textId="77777777" w:rsidR="00102F72" w:rsidRDefault="00102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7C430" w14:textId="77777777" w:rsidR="00121DE8" w:rsidRDefault="00000000">
    <w:pPr>
      <w:pStyle w:val="Encabezado"/>
      <w:jc w:val="right"/>
    </w:pPr>
    <w:r>
      <w:rPr>
        <w:noProof/>
      </w:rPr>
      <w:drawing>
        <wp:inline distT="0" distB="0" distL="0" distR="0" wp14:anchorId="13B84B1A" wp14:editId="2025E868">
          <wp:extent cx="1143000" cy="255873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uoc_26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2558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8135099">
    <w:abstractNumId w:val="8"/>
  </w:num>
  <w:num w:numId="2" w16cid:durableId="1937251202">
    <w:abstractNumId w:val="6"/>
  </w:num>
  <w:num w:numId="3" w16cid:durableId="318311767">
    <w:abstractNumId w:val="5"/>
  </w:num>
  <w:num w:numId="4" w16cid:durableId="1290891621">
    <w:abstractNumId w:val="4"/>
  </w:num>
  <w:num w:numId="5" w16cid:durableId="677121643">
    <w:abstractNumId w:val="7"/>
  </w:num>
  <w:num w:numId="6" w16cid:durableId="1476681457">
    <w:abstractNumId w:val="3"/>
  </w:num>
  <w:num w:numId="7" w16cid:durableId="1434478265">
    <w:abstractNumId w:val="2"/>
  </w:num>
  <w:num w:numId="8" w16cid:durableId="949047378">
    <w:abstractNumId w:val="1"/>
  </w:num>
  <w:num w:numId="9" w16cid:durableId="692875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F72"/>
    <w:rsid w:val="00121DE8"/>
    <w:rsid w:val="0015074B"/>
    <w:rsid w:val="0029639D"/>
    <w:rsid w:val="00326F90"/>
    <w:rsid w:val="00330E9F"/>
    <w:rsid w:val="00547814"/>
    <w:rsid w:val="006C0D77"/>
    <w:rsid w:val="00905A65"/>
    <w:rsid w:val="00AA1D8D"/>
    <w:rsid w:val="00B47730"/>
    <w:rsid w:val="00BB273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ED29F8C"/>
  <w14:defaultImageDpi w14:val="300"/>
  <w15:docId w15:val="{9EF07D60-2B5B-48C3-8555-5657BFA67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814"/>
    <w:pPr>
      <w:spacing w:after="120" w:line="283" w:lineRule="auto"/>
    </w:pPr>
    <w:rPr>
      <w:rFonts w:ascii="Calibri" w:hAnsi="Calibri"/>
      <w:color w:val="222F42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D3052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D3052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D3052"/>
      <w:spacing w:val="5"/>
      <w:kern w:val="28"/>
      <w:sz w:val="3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889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 CARLOS DIAZ PEREZ</cp:lastModifiedBy>
  <cp:revision>3</cp:revision>
  <dcterms:created xsi:type="dcterms:W3CDTF">2013-12-23T23:15:00Z</dcterms:created>
  <dcterms:modified xsi:type="dcterms:W3CDTF">2026-10-18T06:04:00Z</dcterms:modified>
  <cp:category/>
</cp:coreProperties>
</file>