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Mar>
              <w:top w:w="70" w:type="dxa"/>
              <w:start w:w="90" w:type="dxa"/>
              <w:bottom w:w="70" w:type="dxa"/>
              <w:end w:w="90" w:type="dxa"/>
            </w:tcMa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Mar>
              <w:top w:w="70" w:type="dxa"/>
              <w:start w:w="90" w:type="dxa"/>
              <w:bottom w:w="70" w:type="dxa"/>
              <w:end w:w="90" w:type="dxa"/>
            </w:tcMar>
          </w:tcPr>
          <w:p>
            <w:pPr>
              <w:spacing w:after="0" w:before="0" w:line="240" w:lineRule="auto"/>
              <w:jc w:val="left"/>
            </w:pPr>
            <w:r/>
            <w:r>
              <w:rPr>
                <w:rFonts w:ascii="Calibri" w:hAnsi="Calibri"/>
                <w:b w:val="0"/>
                <w:i w:val="0"/>
                <w:color w:val="000000"/>
                <w:sz w:val="21"/>
              </w:rPr>
              <w:t>Jean Carlos Díaz Pérez</w:t>
            </w:r>
          </w:p>
        </w:tc>
      </w:tr>
      <w:tr w:rsidR="00D110EC" w14:paraId="1804513C" w14:textId="77777777" w:rsidTr="14C86939">
        <w:trPr>
          <w:trHeight w:val="418"/>
        </w:trPr>
        <w:tc>
          <w:tcPr>
            <w:tcW w:w="2534" w:type="dxa"/>
            <w:vAlign w:val="center"/>
            <w:tcMar>
              <w:top w:w="70" w:type="dxa"/>
              <w:start w:w="90" w:type="dxa"/>
              <w:bottom w:w="70" w:type="dxa"/>
              <w:end w:w="90" w:type="dxa"/>
            </w:tcMa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Mar>
              <w:top w:w="70" w:type="dxa"/>
              <w:start w:w="90" w:type="dxa"/>
              <w:bottom w:w="70" w:type="dxa"/>
              <w:end w:w="90" w:type="dxa"/>
            </w:tcMar>
          </w:tcPr>
          <w:p>
            <w:pPr>
              <w:spacing w:after="0" w:before="0" w:line="240" w:lineRule="auto"/>
              <w:jc w:val="left"/>
            </w:pPr>
            <w:r/>
            <w:r>
              <w:rPr>
                <w:rFonts w:ascii="Calibri" w:hAnsi="Calibri"/>
                <w:b/>
                <w:i w:val="0"/>
                <w:color w:val="C00000"/>
                <w:sz w:val="21"/>
              </w:rPr>
              <w:t>[COMPLETAR RUT]</w:t>
            </w:r>
          </w:p>
        </w:tc>
      </w:tr>
      <w:tr w:rsidR="00D110EC" w14:paraId="0463BC50" w14:textId="77777777" w:rsidTr="14C86939">
        <w:trPr>
          <w:trHeight w:val="425"/>
        </w:trPr>
        <w:tc>
          <w:tcPr>
            <w:tcW w:w="2534" w:type="dxa"/>
            <w:vAlign w:val="center"/>
            <w:tcMar>
              <w:top w:w="70" w:type="dxa"/>
              <w:start w:w="90" w:type="dxa"/>
              <w:bottom w:w="70" w:type="dxa"/>
              <w:end w:w="90" w:type="dxa"/>
            </w:tcMa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Mar>
              <w:top w:w="70" w:type="dxa"/>
              <w:start w:w="90" w:type="dxa"/>
              <w:bottom w:w="70" w:type="dxa"/>
              <w:end w:w="90" w:type="dxa"/>
            </w:tcMar>
          </w:tcPr>
          <w:p>
            <w:pPr>
              <w:spacing w:after="0" w:before="0" w:line="240" w:lineRule="auto"/>
              <w:jc w:val="left"/>
            </w:pPr>
            <w:r/>
            <w:r>
              <w:rPr>
                <w:rFonts w:ascii="Calibri" w:hAnsi="Calibri"/>
                <w:b w:val="0"/>
                <w:i w:val="0"/>
                <w:color w:val="000000"/>
                <w:sz w:val="21"/>
              </w:rPr>
              <w:t>Ingeniería en Informática</w:t>
            </w:r>
          </w:p>
        </w:tc>
      </w:tr>
      <w:tr w:rsidR="00D110EC" w14:paraId="3A298087" w14:textId="77777777" w:rsidTr="14C86939">
        <w:trPr>
          <w:trHeight w:val="417"/>
        </w:trPr>
        <w:tc>
          <w:tcPr>
            <w:tcW w:w="2534" w:type="dxa"/>
            <w:vAlign w:val="center"/>
            <w:tcMar>
              <w:top w:w="70" w:type="dxa"/>
              <w:start w:w="90" w:type="dxa"/>
              <w:bottom w:w="70" w:type="dxa"/>
              <w:end w:w="90" w:type="dxa"/>
            </w:tcMa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Mar>
              <w:top w:w="70" w:type="dxa"/>
              <w:start w:w="90" w:type="dxa"/>
              <w:bottom w:w="70" w:type="dxa"/>
              <w:end w:w="90" w:type="dxa"/>
            </w:tcMar>
          </w:tcPr>
          <w:p>
            <w:pPr>
              <w:spacing w:after="0" w:before="0" w:line="240" w:lineRule="auto"/>
              <w:jc w:val="left"/>
            </w:pPr>
            <w:r/>
            <w:r>
              <w:rPr>
                <w:rFonts w:ascii="Calibri" w:hAnsi="Calibri"/>
                <w:b/>
                <w:i w:val="0"/>
                <w:color w:val="C00000"/>
                <w:sz w:val="21"/>
              </w:rPr>
              <w:t>[COMPLETAR SEDE]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Mar>
              <w:top w:w="70" w:type="dxa"/>
              <w:start w:w="90" w:type="dxa"/>
              <w:bottom w:w="70" w:type="dxa"/>
              <w:end w:w="90" w:type="dxa"/>
            </w:tcMa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Mar>
              <w:top w:w="70" w:type="dxa"/>
              <w:start w:w="90" w:type="dxa"/>
              <w:bottom w:w="70" w:type="dxa"/>
              <w:end w:w="90" w:type="dxa"/>
            </w:tcMar>
          </w:tcPr>
          <w:p>
            <w:pPr>
              <w:spacing w:after="0" w:before="0" w:line="240" w:lineRule="auto"/>
              <w:jc w:val="left"/>
            </w:pPr>
            <w:r/>
            <w:r>
              <w:rPr>
                <w:rFonts w:ascii="Calibri" w:hAnsi="Calibri"/>
                <w:b w:val="0"/>
                <w:i w:val="0"/>
                <w:color w:val="000000"/>
                <w:sz w:val="21"/>
              </w:rPr>
              <w:t>NexusWST - Modernización de la plataforma We Manager para WeStorage</w:t>
            </w:r>
          </w:p>
        </w:tc>
      </w:tr>
      <w:tr w:rsidR="00D110EC" w14:paraId="3EF8FD0A" w14:textId="77777777" w:rsidTr="14C86939">
        <w:trPr>
          <w:trHeight w:val="418"/>
        </w:trPr>
        <w:tc>
          <w:tcPr>
            <w:tcW w:w="2587" w:type="dxa"/>
            <w:vAlign w:val="center"/>
            <w:tcMar>
              <w:top w:w="70" w:type="dxa"/>
              <w:start w:w="90" w:type="dxa"/>
              <w:bottom w:w="70" w:type="dxa"/>
              <w:end w:w="90" w:type="dxa"/>
            </w:tcMa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top"/>
            <w:tcMar>
              <w:top w:w="70" w:type="dxa"/>
              <w:start w:w="90" w:type="dxa"/>
              <w:bottom w:w="70" w:type="dxa"/>
              <w:end w:w="90" w:type="dxa"/>
            </w:tcMar>
          </w:tcPr>
          <w:p>
            <w:pPr>
              <w:spacing w:after="60" w:before="0" w:line="240" w:lineRule="auto"/>
              <w:jc w:val="both"/>
            </w:pPr>
            <w:r/>
            <w:r>
              <w:rPr>
                <w:rFonts w:ascii="Calibri" w:hAnsi="Calibri"/>
                <w:color w:val="000000"/>
                <w:sz w:val="21"/>
              </w:rPr>
              <w:t>Ingeniería de requisitos; Bases de datos; Desarrollo Back End; Desarrollo Front End y FullStack; Calidad de software; Gestión de proyectos ágiles.</w:t>
            </w:r>
          </w:p>
        </w:tc>
      </w:tr>
      <w:tr w:rsidR="00D110EC" w14:paraId="46C27E09" w14:textId="77777777" w:rsidTr="14C86939">
        <w:trPr>
          <w:trHeight w:val="425"/>
        </w:trPr>
        <w:tc>
          <w:tcPr>
            <w:tcW w:w="2587" w:type="dxa"/>
            <w:vAlign w:val="center"/>
            <w:tcMar>
              <w:top w:w="70" w:type="dxa"/>
              <w:start w:w="90" w:type="dxa"/>
              <w:bottom w:w="70" w:type="dxa"/>
              <w:end w:w="90" w:type="dxa"/>
            </w:tcMa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top"/>
            <w:tcMar>
              <w:top w:w="70" w:type="dxa"/>
              <w:start w:w="90" w:type="dxa"/>
              <w:bottom w:w="70" w:type="dxa"/>
              <w:end w:w="90" w:type="dxa"/>
            </w:tcMar>
          </w:tcPr>
          <w:p>
            <w:pPr>
              <w:spacing w:after="40" w:before="0" w:line="240" w:lineRule="auto"/>
              <w:ind w:left="0" w:firstLine="0"/>
              <w:jc w:val="left"/>
            </w:pPr>
            <w:r/>
            <w:r>
              <w:rPr>
                <w:rFonts w:ascii="Calibri" w:hAnsi="Calibri"/>
                <w:color w:val="000000"/>
                <w:sz w:val="19"/>
              </w:rPr>
              <w:t>C1. Diseñar y generar soluciones de software innovadoras y de calidad, aplicando el ciclo de vida de éste, según las características del proyecto, las mejores prácticas de la industria y sus estándares de calidad.</w:t>
            </w:r>
          </w:p>
          <w:p>
            <w:pPr>
              <w:spacing w:after="40" w:before="0" w:line="240" w:lineRule="auto"/>
              <w:ind w:left="0" w:firstLine="0"/>
              <w:jc w:val="left"/>
            </w:pPr>
            <w:r>
              <w:rPr>
                <w:rFonts w:ascii="Calibri" w:hAnsi="Calibri"/>
                <w:color w:val="000000"/>
                <w:sz w:val="19"/>
              </w:rPr>
              <w:t>C2. Diseñar y generar soluciones que permitan resolver los requerimientos de información en el contexto de las organizaciones, considerando bases de datos relacionales y no relacionales.</w:t>
            </w:r>
          </w:p>
          <w:p>
            <w:pPr>
              <w:spacing w:after="40" w:before="0" w:line="240" w:lineRule="auto"/>
              <w:ind w:left="0" w:firstLine="0"/>
              <w:jc w:val="left"/>
            </w:pPr>
            <w:r>
              <w:rPr>
                <w:rFonts w:ascii="Calibri" w:hAnsi="Calibri"/>
                <w:color w:val="000000"/>
                <w:sz w:val="19"/>
              </w:rPr>
              <w:t>C3. Diseñar y adaptar los procesos de ingeniería de requisitos, a través del uso de metodologías de vanguardia y estándares de la industria, para el desarrollo de soluciones TI complejas, innovadoras y de calidad.</w:t>
            </w:r>
          </w:p>
          <w:p>
            <w:pPr>
              <w:spacing w:after="40" w:before="0" w:line="240" w:lineRule="auto"/>
              <w:ind w:left="0" w:firstLine="0"/>
              <w:jc w:val="left"/>
            </w:pPr>
            <w:r>
              <w:rPr>
                <w:rFonts w:ascii="Calibri" w:hAnsi="Calibri"/>
                <w:color w:val="000000"/>
                <w:sz w:val="19"/>
              </w:rPr>
              <w:t>C4.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pPr>
              <w:spacing w:after="40" w:before="0" w:line="240" w:lineRule="auto"/>
              <w:ind w:left="0" w:firstLine="0"/>
              <w:jc w:val="left"/>
            </w:pPr>
            <w:r>
              <w:rPr>
                <w:rFonts w:ascii="Calibri" w:hAnsi="Calibri"/>
                <w:color w:val="000000"/>
                <w:sz w:val="19"/>
              </w:rPr>
              <w:t>C5. Diseñar soluciones de software, abarcando todo el ciclo de vida de éste, de acuerdo a estándares, marcos de trabajo y regulatorios, tecnologías y metodologías que promueven la innovación, con foco en la calidad, seguridad y sostenibilidad del proyecto.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Mar>
              <w:top w:w="70" w:type="dxa"/>
              <w:start w:w="90" w:type="dxa"/>
              <w:bottom w:w="70" w:type="dxa"/>
              <w:end w:w="90" w:type="dxa"/>
            </w:tcMa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top"/>
            <w:tcMar>
              <w:top w:w="70" w:type="dxa"/>
              <w:start w:w="90" w:type="dxa"/>
              <w:bottom w:w="70" w:type="dxa"/>
              <w:end w:w="90" w:type="dxa"/>
            </w:tcMar>
          </w:tcPr>
          <w:p>
            <w:pPr>
              <w:spacing w:after="60" w:before="0" w:line="240" w:lineRule="auto"/>
              <w:jc w:val="both"/>
            </w:pPr>
            <w:r/>
            <w:r>
              <w:rPr>
                <w:rFonts w:ascii="Calibri" w:hAnsi="Calibri"/>
                <w:color w:val="000000"/>
                <w:sz w:val="21"/>
              </w:rPr>
              <w:t>WeStorage es una empresa de logística 3PL que opera con We Manager, su plataforma de gestión de órdenes integrada con canales de venta, couriers y un WMS externo. El sistema actual presenta problemas de mantenibilidad y evolución asociados a su alto acoplamiento, además de dificultades de rendimiento y operación que hacen más costoso introducir cambios y seguir escalando la solución.</w:t>
            </w:r>
          </w:p>
          <w:p>
            <w:pPr>
              <w:spacing w:after="60" w:before="0" w:line="240" w:lineRule="auto"/>
              <w:jc w:val="both"/>
            </w:pPr>
            <w:r>
              <w:rPr>
                <w:rFonts w:ascii="Calibri" w:hAnsi="Calibri"/>
                <w:color w:val="000000"/>
                <w:sz w:val="21"/>
              </w:rPr>
              <w:t>NexusWST aborda una situación real del campo laboral de Ingeniería en Informática: modernizar un sistema productivo sin reemplazar innecesariamente los componentes externos que ya cumplen una función. El proyecto impacta directamente a los usuarios operacionales y administrativos de WeStorage y, de forma indirecta, a los clientes cuyas órdenes son procesadas por la empresa.</w:t>
            </w:r>
          </w:p>
          <w:p>
            <w:pPr>
              <w:spacing w:after="60" w:before="0" w:line="240" w:lineRule="auto"/>
              <w:jc w:val="both"/>
            </w:pPr>
            <w:r>
              <w:rPr>
                <w:rFonts w:ascii="Calibri" w:hAnsi="Calibri"/>
                <w:color w:val="000000"/>
                <w:sz w:val="21"/>
              </w:rPr>
              <w:t>El aporte esperado es una base tecnológica más mantenible, trazable y preparada para evolucionar, aplicando ingeniería de requisitos, arquitectura de software, modelamiento de datos, desarrollo backend/frontend, integración, calidad y gestión ágil en un contexto real.</w:t>
            </w:r>
          </w:p>
        </w:tc>
      </w:tr>
      <w:tr w:rsidR="00D110EC" w14:paraId="1836B542" w14:textId="2128C48C" w:rsidTr="14C86939">
        <w:trPr>
          <w:trHeight w:val="1037"/>
        </w:trPr>
        <w:tc>
          <w:tcPr>
            <w:tcW w:w="1256" w:type="pct"/>
            <w:vAlign w:val="center"/>
            <w:tcMar>
              <w:top w:w="70" w:type="dxa"/>
              <w:start w:w="90" w:type="dxa"/>
              <w:bottom w:w="70" w:type="dxa"/>
              <w:end w:w="90" w:type="dxa"/>
            </w:tcMa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top"/>
            <w:tcMar>
              <w:top w:w="70" w:type="dxa"/>
              <w:start w:w="90" w:type="dxa"/>
              <w:bottom w:w="70" w:type="dxa"/>
              <w:end w:w="90" w:type="dxa"/>
            </w:tcMar>
          </w:tcPr>
          <w:p>
            <w:pPr>
              <w:spacing w:after="60" w:before="0" w:line="240" w:lineRule="auto"/>
              <w:jc w:val="both"/>
            </w:pPr>
            <w:r/>
            <w:r>
              <w:rPr>
                <w:rFonts w:ascii="Calibri" w:hAnsi="Calibri"/>
                <w:color w:val="000000"/>
                <w:sz w:val="21"/>
              </w:rPr>
              <w:t>El proyecto busca diseñar e implementar una nueva base tecnológica para NexusWST, priorizando la gestión de Órdenes de extremo a extremo. El alcance funcional considera Clientes, Productos y autenticación con roles y permisos como módulos de apoyo, y un flujo de órdenes que abarque su gestión, preparación/picking, empaque, despacho y entrega al courier.</w:t>
            </w:r>
          </w:p>
          <w:p>
            <w:pPr>
              <w:spacing w:after="60" w:before="0" w:line="240" w:lineRule="auto"/>
              <w:jc w:val="both"/>
            </w:pPr>
            <w:r>
              <w:rPr>
                <w:rFonts w:ascii="Calibri" w:hAnsi="Calibri"/>
                <w:color w:val="000000"/>
                <w:sz w:val="21"/>
              </w:rPr>
              <w:t>La solución se plantea con frontend Next.js/React, backend en Go, un monolito modular para capacidades compartidas y un Orders Service con arquitectura hexagonal, PostgreSQL como base de datos, Redis como capa de caché, Traefik, Docker, GitLab, SonarQube y despliegue sobre la infraestructura de DigitalOcean de WeStorage. El WMS Invas se mantiene como sistema externo; Inventario, Recepciones y Facturación conservan una estructura preparada para su evolución futura, pero no se implementan íntegramente dentro del alcance académico.</w:t>
            </w:r>
          </w:p>
        </w:tc>
      </w:tr>
      <w:tr w:rsidR="00D110EC" w14:paraId="0735639F" w14:textId="77777777" w:rsidTr="14C86939">
        <w:trPr>
          <w:trHeight w:val="866"/>
        </w:trPr>
        <w:tc>
          <w:tcPr>
            <w:tcW w:w="1256" w:type="pct"/>
            <w:vAlign w:val="center"/>
            <w:tcMar>
              <w:top w:w="70" w:type="dxa"/>
              <w:start w:w="90" w:type="dxa"/>
              <w:bottom w:w="70" w:type="dxa"/>
              <w:end w:w="90" w:type="dxa"/>
            </w:tcMa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top"/>
            <w:tcMar>
              <w:top w:w="70" w:type="dxa"/>
              <w:start w:w="90" w:type="dxa"/>
              <w:bottom w:w="70" w:type="dxa"/>
              <w:end w:w="90" w:type="dxa"/>
            </w:tcMar>
          </w:tcPr>
          <w:p>
            <w:pPr>
              <w:spacing w:after="60" w:before="0" w:line="240" w:lineRule="auto"/>
              <w:jc w:val="both"/>
            </w:pPr>
            <w:r/>
            <w:r>
              <w:rPr>
                <w:rFonts w:ascii="Calibri" w:hAnsi="Calibri"/>
                <w:b/>
                <w:color w:val="000000"/>
                <w:sz w:val="20"/>
              </w:rPr>
              <w:t xml:space="preserve">C1 - Diseño y calidad de software: </w:t>
            </w:r>
            <w:r>
              <w:rPr>
                <w:rFonts w:ascii="Calibri" w:hAnsi="Calibri"/>
                <w:color w:val="000000"/>
                <w:sz w:val="20"/>
              </w:rPr>
              <w:t>se aplica al construir, integrar y validar una solución web siguiendo un ciclo de desarrollo, buenas prácticas, pruebas y control de calidad.</w:t>
            </w:r>
          </w:p>
          <w:p>
            <w:pPr>
              <w:spacing w:after="60" w:before="0" w:line="240" w:lineRule="auto"/>
              <w:jc w:val="both"/>
            </w:pPr>
            <w:r>
              <w:rPr>
                <w:rFonts w:ascii="Calibri" w:hAnsi="Calibri"/>
                <w:b/>
                <w:color w:val="000000"/>
                <w:sz w:val="20"/>
              </w:rPr>
              <w:t xml:space="preserve">C2 - Soluciones de información y datos: </w:t>
            </w:r>
            <w:r>
              <w:rPr>
                <w:rFonts w:ascii="Calibri" w:hAnsi="Calibri"/>
                <w:color w:val="000000"/>
                <w:sz w:val="20"/>
              </w:rPr>
              <w:t>se aplica en el análisis y evolución del modelo PostgreSQL que soporta órdenes, clientes, productos, despachos, estados e integraciones, además del uso de Redis para consultas de alta frecuencia.</w:t>
            </w:r>
          </w:p>
          <w:p>
            <w:pPr>
              <w:spacing w:after="60" w:before="0" w:line="240" w:lineRule="auto"/>
              <w:jc w:val="both"/>
            </w:pPr>
            <w:r>
              <w:rPr>
                <w:rFonts w:ascii="Calibri" w:hAnsi="Calibri"/>
                <w:b/>
                <w:color w:val="000000"/>
                <w:sz w:val="20"/>
              </w:rPr>
              <w:t xml:space="preserve">C3 - Ingeniería de requisitos: </w:t>
            </w:r>
            <w:r>
              <w:rPr>
                <w:rFonts w:ascii="Calibri" w:hAnsi="Calibri"/>
                <w:color w:val="000000"/>
                <w:sz w:val="20"/>
              </w:rPr>
              <w:t>se utiliza para levantar, analizar y validar con WeStorage los procesos actuales y futuros, el alcance de Órdenes y las reglas de integración con sistemas externos.</w:t>
            </w:r>
          </w:p>
          <w:p>
            <w:pPr>
              <w:spacing w:after="60" w:before="0" w:line="240" w:lineRule="auto"/>
              <w:jc w:val="both"/>
            </w:pPr>
            <w:r>
              <w:rPr>
                <w:rFonts w:ascii="Calibri" w:hAnsi="Calibri"/>
                <w:b/>
                <w:color w:val="000000"/>
                <w:sz w:val="20"/>
              </w:rPr>
              <w:t xml:space="preserve">C4 - Gestión de proyectos: </w:t>
            </w:r>
            <w:r>
              <w:rPr>
                <w:rFonts w:ascii="Calibri" w:hAnsi="Calibri"/>
                <w:color w:val="000000"/>
                <w:sz w:val="20"/>
              </w:rPr>
              <w:t>se aplica mediante Scrum, Jira, backlog priorizado, planificación por sprints, seguimiento de riesgos y control del alcance junto al cliente.</w:t>
            </w:r>
          </w:p>
          <w:p>
            <w:pPr>
              <w:spacing w:after="60" w:before="0" w:line="240" w:lineRule="auto"/>
              <w:jc w:val="both"/>
            </w:pPr>
            <w:r>
              <w:rPr>
                <w:rFonts w:ascii="Calibri" w:hAnsi="Calibri"/>
                <w:b/>
                <w:color w:val="000000"/>
                <w:sz w:val="20"/>
              </w:rPr>
              <w:t xml:space="preserve">C5 - Diseño de soluciones de software: </w:t>
            </w:r>
            <w:r>
              <w:rPr>
                <w:rFonts w:ascii="Calibri" w:hAnsi="Calibri"/>
                <w:color w:val="000000"/>
                <w:sz w:val="20"/>
              </w:rPr>
              <w:t>se evidencia en la definición de una arquitectura modular y hexagonal, contratos de integración, contenedores, control de versiones, calidad, seguridad y despliegue.</w:t>
            </w:r>
          </w:p>
        </w:tc>
      </w:tr>
      <w:tr w:rsidR="00D110EC" w14:paraId="46246FD8" w14:textId="77777777" w:rsidTr="14C86939">
        <w:trPr>
          <w:trHeight w:val="866"/>
        </w:trPr>
        <w:tc>
          <w:tcPr>
            <w:tcW w:w="1256" w:type="pct"/>
            <w:vAlign w:val="center"/>
            <w:tcMar>
              <w:top w:w="70" w:type="dxa"/>
              <w:start w:w="90" w:type="dxa"/>
              <w:bottom w:w="70" w:type="dxa"/>
              <w:end w:w="90" w:type="dxa"/>
            </w:tcMa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top"/>
            <w:tcMar>
              <w:top w:w="70" w:type="dxa"/>
              <w:start w:w="90" w:type="dxa"/>
              <w:bottom w:w="70" w:type="dxa"/>
              <w:end w:w="90" w:type="dxa"/>
            </w:tcMar>
          </w:tcPr>
          <w:p>
            <w:pPr>
              <w:spacing w:after="60" w:before="0" w:line="240" w:lineRule="auto"/>
              <w:jc w:val="both"/>
            </w:pPr>
            <w:r/>
            <w:r>
              <w:rPr>
                <w:rFonts w:ascii="Calibri" w:hAnsi="Calibri"/>
                <w:color w:val="000000"/>
                <w:sz w:val="21"/>
              </w:rPr>
              <w:t>Mi principal interés profesional es el desarrollo de software, especialmente backend y full-stack, junto con la arquitectura de software y, a futuro, servicios cloud. NexusWST se relaciona directamente con estos intereses porque me permite trabajar con lógica de negocio, APIs en Go, PostgreSQL y Redis, integración de sistemas, frontend en React/Next.js y decisiones de arquitectura sobre un sistema real.</w:t>
            </w:r>
          </w:p>
          <w:p>
            <w:pPr>
              <w:spacing w:after="60" w:before="0" w:line="240" w:lineRule="auto"/>
              <w:jc w:val="both"/>
            </w:pPr>
            <w:r>
              <w:rPr>
                <w:rFonts w:ascii="Calibri" w:hAnsi="Calibri"/>
                <w:color w:val="000000"/>
                <w:sz w:val="21"/>
              </w:rPr>
              <w:t>El proyecto también me permite fortalecer competencias que quiero seguir desarrollando: arquitectura de software, calidad, pruebas automatizadas, despliegue e integración continua. Trabajar con un cliente real y con infraestructura de DigitalOcean, Docker, GitLab y SonarQube aporta experiencia cercana a un entorno profesional y complementa mi formación orientada al desarrollo backend/full-stack.</w:t>
            </w:r>
          </w:p>
        </w:tc>
      </w:tr>
      <w:tr w:rsidR="00D110EC" w14:paraId="3320D507" w14:textId="77777777" w:rsidTr="14C86939">
        <w:trPr>
          <w:trHeight w:val="132"/>
        </w:trPr>
        <w:tc>
          <w:tcPr>
            <w:tcW w:w="1256" w:type="pct"/>
            <w:vAlign w:val="center"/>
            <w:tcMar>
              <w:top w:w="70" w:type="dxa"/>
              <w:start w:w="90" w:type="dxa"/>
              <w:bottom w:w="70" w:type="dxa"/>
              <w:end w:w="90" w:type="dxa"/>
            </w:tcMa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top"/>
            <w:tcMar>
              <w:top w:w="70" w:type="dxa"/>
              <w:start w:w="90" w:type="dxa"/>
              <w:bottom w:w="70" w:type="dxa"/>
              <w:end w:w="90" w:type="dxa"/>
            </w:tcMar>
          </w:tcPr>
          <w:p>
            <w:pPr>
              <w:spacing w:after="60" w:before="0" w:line="240" w:lineRule="auto"/>
              <w:jc w:val="both"/>
            </w:pPr>
            <w:r/>
            <w:r>
              <w:rPr>
                <w:rFonts w:ascii="Calibri" w:hAnsi="Calibri"/>
                <w:color w:val="000000"/>
                <w:sz w:val="21"/>
              </w:rPr>
              <w:t>El proyecto es factible dentro del periodo académico porque el alcance fue acotado deliberadamente: se prioriza Órdenes de extremo a extremo y los módulos base de Clientes, Productos y autenticación/roles, sin intentar reconstruir toda la plataforma ni reemplazar el WMS Invas. La planificación se distribuye en las 18 semanas indicadas para las tres fases del proyecto.</w:t>
            </w:r>
          </w:p>
          <w:p>
            <w:pPr>
              <w:spacing w:after="60" w:before="0" w:line="240" w:lineRule="auto"/>
              <w:jc w:val="both"/>
            </w:pPr>
            <w:r>
              <w:rPr>
                <w:rFonts w:ascii="Calibri" w:hAnsi="Calibri"/>
                <w:color w:val="000000"/>
                <w:sz w:val="21"/>
              </w:rPr>
              <w:t>Se dispone de recursos relevantes para el desarrollo: acceso al cliente y a la plataforma actual, repositorio GitLab, infraestructura DigitalOcean, SonarQube, PostgreSQL, Docker, Jira y material técnico de la solución existente. Como facilitadores destacan la comunicación directa con WeStorage y el uso de tecnologías e infraestructura acordadas con la empresa.</w:t>
            </w:r>
          </w:p>
          <w:p>
            <w:pPr>
              <w:spacing w:after="60" w:before="0" w:line="240" w:lineRule="auto"/>
              <w:jc w:val="both"/>
            </w:pPr>
            <w:r>
              <w:rPr>
                <w:rFonts w:ascii="Calibri" w:hAnsi="Calibri"/>
                <w:color w:val="000000"/>
                <w:sz w:val="21"/>
              </w:rPr>
              <w:t>Los principales riesgos son la curva de aprendizaje de Go, el tamaño reducido del equipo, las dependencias de validación con el cliente y la posibilidad de ampliar el alcance. Se abordarán mediante sprints cortos, backlog priorizado, validación temprana de procesos y contratos, capacitación dirigida, trabajo incremental y respeto del alcance definido.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ageBreakBefore/>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Mar>
              <w:top w:w="70" w:type="dxa"/>
              <w:start w:w="90" w:type="dxa"/>
              <w:bottom w:w="70" w:type="dxa"/>
              <w:end w:w="90" w:type="dxa"/>
            </w:tcMa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top"/>
            <w:tcMar>
              <w:top w:w="70" w:type="dxa"/>
              <w:start w:w="90" w:type="dxa"/>
              <w:bottom w:w="70" w:type="dxa"/>
              <w:end w:w="90" w:type="dxa"/>
            </w:tcMar>
          </w:tcPr>
          <w:p>
            <w:pPr>
              <w:spacing w:after="0" w:line="240" w:lineRule="auto"/>
            </w:pPr>
            <w:r/>
            <w:r>
              <w:rPr>
                <w:rFonts w:ascii="Calibri" w:hAnsi="Calibri"/>
                <w:sz w:val="21"/>
              </w:rPr>
              <w:t>Diseñar e implementar NexusWST como base tecnológica moderna para la gestión de órdenes de WeStorage, desarrollando un flujo de Órdenes de extremo a extremo apoyado por Clientes, Productos y autenticación/roles, integrado con los sistemas existentes y validado mediante pruebas y prácticas de calidad durante Capstone.</w:t>
            </w:r>
          </w:p>
        </w:tc>
      </w:tr>
      <w:tr w:rsidR="00D110EC" w14:paraId="543120E8" w14:textId="77777777" w:rsidTr="00416B89">
        <w:trPr>
          <w:trHeight w:val="834"/>
        </w:trPr>
        <w:tc>
          <w:tcPr>
            <w:tcW w:w="2638" w:type="dxa"/>
            <w:vAlign w:val="center"/>
            <w:tcMar>
              <w:top w:w="70" w:type="dxa"/>
              <w:start w:w="90" w:type="dxa"/>
              <w:bottom w:w="70" w:type="dxa"/>
              <w:end w:w="90" w:type="dxa"/>
            </w:tcMa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top"/>
            <w:tcMar>
              <w:top w:w="70" w:type="dxa"/>
              <w:start w:w="90" w:type="dxa"/>
              <w:bottom w:w="70" w:type="dxa"/>
              <w:end w:w="90" w:type="dxa"/>
            </w:tcMar>
          </w:tcPr>
          <w:p>
            <w:pPr>
              <w:spacing w:after="40" w:before="0" w:line="240" w:lineRule="auto"/>
              <w:ind w:left="0" w:firstLine="0"/>
              <w:jc w:val="left"/>
            </w:pPr>
            <w:r/>
            <w:r>
              <w:rPr>
                <w:rFonts w:ascii="Calibri" w:hAnsi="Calibri"/>
                <w:color w:val="000000"/>
                <w:sz w:val="20"/>
              </w:rPr>
              <w:t>- Levantar y validar con WeStorage los requerimientos funcionales y no funcionales del flujo de Órdenes, incluyendo procesos actuales, proceso objetivo e integraciones externas.</w:t>
            </w:r>
          </w:p>
          <w:p>
            <w:pPr>
              <w:spacing w:after="40" w:before="0" w:line="240" w:lineRule="auto"/>
              <w:ind w:left="0" w:firstLine="0"/>
              <w:jc w:val="left"/>
            </w:pPr>
            <w:r>
              <w:rPr>
                <w:rFonts w:ascii="Calibri" w:hAnsi="Calibri"/>
                <w:color w:val="000000"/>
                <w:sz w:val="20"/>
              </w:rPr>
              <w:t>- Diseñar la arquitectura de la solución, definiendo responsabilidades entre el monolito modular, el Orders Service, frontend, base de datos, caché e integraciones.</w:t>
            </w:r>
          </w:p>
          <w:p>
            <w:pPr>
              <w:spacing w:after="40" w:before="0" w:line="240" w:lineRule="auto"/>
              <w:ind w:left="0" w:firstLine="0"/>
              <w:jc w:val="left"/>
            </w:pPr>
            <w:r>
              <w:rPr>
                <w:rFonts w:ascii="Calibri" w:hAnsi="Calibri"/>
                <w:color w:val="000000"/>
                <w:sz w:val="20"/>
              </w:rPr>
              <w:t>- Analizar y ajustar el modelo de datos PostgreSQL necesario para soportar Órdenes, Clientes, Productos, seguridad y trazabilidad, manteniendo preparada la evolución futura de otros módulos.</w:t>
            </w:r>
          </w:p>
          <w:p>
            <w:pPr>
              <w:spacing w:after="40" w:before="0" w:line="240" w:lineRule="auto"/>
              <w:ind w:left="0" w:firstLine="0"/>
              <w:jc w:val="left"/>
            </w:pPr>
            <w:r>
              <w:rPr>
                <w:rFonts w:ascii="Calibri" w:hAnsi="Calibri"/>
                <w:color w:val="000000"/>
                <w:sz w:val="20"/>
              </w:rPr>
              <w:t>- Desarrollar los componentes backend en Go y la interfaz en Next.js/React requeridos para ejecutar el flujo de Órdenes priorizado.</w:t>
            </w:r>
          </w:p>
          <w:p>
            <w:pPr>
              <w:spacing w:after="40" w:before="0" w:line="240" w:lineRule="auto"/>
              <w:ind w:left="0" w:firstLine="0"/>
              <w:jc w:val="left"/>
            </w:pPr>
            <w:r>
              <w:rPr>
                <w:rFonts w:ascii="Calibri" w:hAnsi="Calibri"/>
                <w:color w:val="000000"/>
                <w:sz w:val="20"/>
              </w:rPr>
              <w:t>- Integrar Docker, Traefik, GitLab, DigitalOcean y SonarQube para sistematizar el desarrollo, despliegue y control de calidad.</w:t>
            </w:r>
          </w:p>
          <w:p>
            <w:pPr>
              <w:spacing w:after="40" w:before="0" w:line="240" w:lineRule="auto"/>
              <w:ind w:left="0" w:firstLine="0"/>
              <w:jc w:val="left"/>
            </w:pPr>
            <w:r>
              <w:rPr>
                <w:rFonts w:ascii="Calibri" w:hAnsi="Calibri"/>
                <w:color w:val="000000"/>
                <w:sz w:val="20"/>
              </w:rPr>
              <w:t>- Ejecutar pruebas unitarias e integración, revisar calidad de código y validar incrementalmente los resultados con el cliente.</w:t>
            </w:r>
          </w:p>
          <w:p>
            <w:pPr>
              <w:spacing w:after="40" w:before="0" w:line="240" w:lineRule="auto"/>
              <w:ind w:left="0" w:firstLine="0"/>
              <w:jc w:val="left"/>
            </w:pPr>
            <w:r>
              <w:rPr>
                <w:rFonts w:ascii="Calibri" w:hAnsi="Calibri"/>
                <w:color w:val="000000"/>
                <w:sz w:val="20"/>
              </w:rPr>
              <w:t>- Gestionar el proyecto mediante Scrum y Jira, controlando alcance, avances, riesgos, responsables y evidencias durante las tres fases.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Mar>
              <w:top w:w="70" w:type="dxa"/>
              <w:start w:w="90" w:type="dxa"/>
              <w:bottom w:w="70" w:type="dxa"/>
              <w:end w:w="90" w:type="dxa"/>
            </w:tcMar>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vAlign w:val="top"/>
            <w:tcMar>
              <w:top w:w="70" w:type="dxa"/>
              <w:start w:w="90" w:type="dxa"/>
              <w:bottom w:w="70" w:type="dxa"/>
              <w:end w:w="90" w:type="dxa"/>
            </w:tcMar>
          </w:tcPr>
          <w:p>
            <w:pPr>
              <w:spacing w:after="60" w:before="0" w:line="240" w:lineRule="auto"/>
              <w:jc w:val="both"/>
            </w:pPr>
            <w:r/>
            <w:r>
              <w:rPr>
                <w:rFonts w:ascii="Calibri" w:hAnsi="Calibri"/>
                <w:b/>
                <w:color w:val="000000"/>
                <w:sz w:val="20"/>
              </w:rPr>
              <w:t xml:space="preserve">Enfoque de trabajo. </w:t>
            </w:r>
            <w:r>
              <w:rPr>
                <w:rFonts w:ascii="Calibri" w:hAnsi="Calibri"/>
                <w:color w:val="000000"/>
                <w:sz w:val="20"/>
              </w:rPr>
              <w:t>El proyecto se desarrollará de manera iterativa e incremental utilizando Scrum como marco de gestión, con backlog priorizado en Jira y sprints de aproximadamente dos semanas. Cada incremento será revisado antes de avanzar, permitiendo ajustar decisiones a partir de la retroalimentación de WeStorage.</w:t>
            </w:r>
          </w:p>
          <w:p>
            <w:pPr>
              <w:spacing w:after="60" w:before="0" w:line="240" w:lineRule="auto"/>
              <w:jc w:val="both"/>
            </w:pPr>
            <w:r>
              <w:rPr>
                <w:rFonts w:ascii="Calibri" w:hAnsi="Calibri"/>
                <w:b/>
                <w:color w:val="000000"/>
                <w:sz w:val="20"/>
              </w:rPr>
              <w:t xml:space="preserve">Fase 1 - Definición (semanas 1 a 4). </w:t>
            </w:r>
            <w:r>
              <w:rPr>
                <w:rFonts w:ascii="Calibri" w:hAnsi="Calibri"/>
                <w:color w:val="000000"/>
                <w:sz w:val="20"/>
              </w:rPr>
              <w:t>Levantamiento y validación de requerimientos, análisis de We Manager, BPMN As-Is y To-Be, revisión del modelo de datos, definición del alcance, arquitectura inicial, riesgos y planificación.</w:t>
            </w:r>
          </w:p>
          <w:p>
            <w:pPr>
              <w:spacing w:after="60" w:before="0" w:line="240" w:lineRule="auto"/>
              <w:jc w:val="both"/>
            </w:pPr>
            <w:r>
              <w:rPr>
                <w:rFonts w:ascii="Calibri" w:hAnsi="Calibri"/>
                <w:b/>
                <w:color w:val="000000"/>
                <w:sz w:val="20"/>
              </w:rPr>
              <w:t xml:space="preserve">Fase 2 - Desarrollo (semanas 5 a 15). </w:t>
            </w:r>
            <w:r>
              <w:rPr>
                <w:rFonts w:ascii="Calibri" w:hAnsi="Calibri"/>
                <w:color w:val="000000"/>
                <w:sz w:val="20"/>
              </w:rPr>
              <w:t>Configuración de infraestructura de desarrollo, evolución del modelo de datos, implementación de Clientes, Productos y autenticación/roles, construcción del Orders Service y su flujo de extremo a extremo, integración con frontend y sistemas externos, y ejecución progresiva de pruebas y análisis de calidad.</w:t>
            </w:r>
          </w:p>
          <w:p>
            <w:pPr>
              <w:spacing w:after="60" w:before="0" w:line="240" w:lineRule="auto"/>
              <w:jc w:val="both"/>
            </w:pPr>
            <w:r>
              <w:rPr>
                <w:rFonts w:ascii="Calibri" w:hAnsi="Calibri"/>
                <w:b/>
                <w:color w:val="000000"/>
                <w:sz w:val="20"/>
              </w:rPr>
              <w:t xml:space="preserve">Fase 3 - Validación y cierre (semanas 16 a 18). </w:t>
            </w:r>
            <w:r>
              <w:rPr>
                <w:rFonts w:ascii="Calibri" w:hAnsi="Calibri"/>
                <w:color w:val="000000"/>
                <w:sz w:val="20"/>
              </w:rPr>
              <w:t>Pruebas integrales, revisión de SonarQube, estabilización, documentación técnica, consolidación de evidencias y presentación de resultados al cliente y al docente.</w:t>
            </w:r>
          </w:p>
          <w:p>
            <w:pPr>
              <w:spacing w:after="60" w:before="0" w:line="240" w:lineRule="auto"/>
              <w:jc w:val="both"/>
            </w:pPr>
            <w:r>
              <w:rPr>
                <w:rFonts w:ascii="Calibri" w:hAnsi="Calibri"/>
                <w:b/>
                <w:color w:val="000000"/>
                <w:sz w:val="20"/>
              </w:rPr>
              <w:t xml:space="preserve">Responsabilidades del equipo. </w:t>
            </w:r>
            <w:r>
              <w:rPr>
                <w:rFonts w:ascii="Calibri" w:hAnsi="Calibri"/>
                <w:color w:val="000000"/>
                <w:sz w:val="20"/>
              </w:rPr>
              <w:t>Jean Carlos Díaz Pérez actuará como líder de proyecto y desarrollador full-stack, con foco en arquitectura, backend Go, APIs, integración, frontend y coordinación del trabajo. Cristopher Alberto Lobos Martínez tendrá foco en modelamiento de procesos y base de datos PostgreSQL, apoyando además la integración y validación. El levantamiento de requerimientos, revisiones técnicas, pruebas y reuniones con el cliente se realizarán colaborativamente.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Mar>
              <w:top w:w="70" w:type="dxa"/>
              <w:start w:w="90" w:type="dxa"/>
              <w:bottom w:w="70" w:type="dxa"/>
              <w:end w:w="90" w:type="dxa"/>
            </w:tcMa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Mar>
              <w:top w:w="70" w:type="dxa"/>
              <w:start w:w="90" w:type="dxa"/>
              <w:bottom w:w="70" w:type="dxa"/>
              <w:end w:w="90" w:type="dxa"/>
            </w:tcMa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Mar>
              <w:top w:w="70" w:type="dxa"/>
              <w:start w:w="90" w:type="dxa"/>
              <w:bottom w:w="70" w:type="dxa"/>
              <w:end w:w="90" w:type="dxa"/>
            </w:tcMa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Mar>
              <w:top w:w="70" w:type="dxa"/>
              <w:start w:w="90" w:type="dxa"/>
              <w:bottom w:w="70" w:type="dxa"/>
              <w:end w:w="90" w:type="dxa"/>
            </w:tcMa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9"/>
              </w:rPr>
              <w:t>Avance</w:t>
            </w:r>
          </w:p>
        </w:tc>
        <w:tc>
          <w:tcPr>
            <w:tcW w:w="1843"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9"/>
              </w:rPr>
              <w:t>Requerimientos y modelamiento del proceso</w:t>
            </w:r>
          </w:p>
        </w:tc>
        <w:tc>
          <w:tcPr>
            <w:tcW w:w="3825"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8"/>
              </w:rPr>
              <w:t>Documento de requerimientos, decisiones de alcance y diagramas BPMN As-Is/To-Be del proceso de Órdenes, respaldados por reuniones y validaciones con WeStorage.</w:t>
            </w:r>
          </w:p>
        </w:tc>
        <w:tc>
          <w:tcPr>
            <w:tcW w:w="255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8"/>
              </w:rPr>
              <w:t>Evidencia la aplicación de ingeniería de requisitos, comprensión del proceso actual y definición del proceso objetivo antes de construir la solución.</w:t>
            </w:r>
          </w:p>
        </w:tc>
      </w:tr>
      <w:tr w:rsidR="00D110EC" w:rsidRPr="00CA29F2" w14:paraId="76C9D9C6" w14:textId="77777777" w:rsidTr="009D04DC">
        <w:trPr>
          <w:trHeight w:val="362"/>
        </w:trPr>
        <w:tc>
          <w:tcPr>
            <w:tcW w:w="1843"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9"/>
              </w:rPr>
              <w:t>Avance</w:t>
            </w:r>
          </w:p>
        </w:tc>
        <w:tc>
          <w:tcPr>
            <w:tcW w:w="1843"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9"/>
              </w:rPr>
              <w:t>Diseño técnico y modelo de datos</w:t>
            </w:r>
          </w:p>
        </w:tc>
        <w:tc>
          <w:tcPr>
            <w:tcW w:w="3825"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8"/>
              </w:rPr>
              <w:t>Diagramas de arquitectura, componentes e integración; análisis/ERD de PostgreSQL y definición de contratos principales entre frontend, backend, Orders Service, Redis y sistemas externos.</w:t>
            </w:r>
          </w:p>
        </w:tc>
        <w:tc>
          <w:tcPr>
            <w:tcW w:w="255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8"/>
              </w:rPr>
              <w:t>Demuestra las decisiones de arquitectura y datos que sustentan una solución mantenible y escalable.</w:t>
            </w:r>
          </w:p>
        </w:tc>
      </w:tr>
      <w:tr w:rsidR="00D110EC" w:rsidRPr="00CA29F2" w14:paraId="34B7F5BE" w14:textId="77777777" w:rsidTr="009D04DC">
        <w:trPr>
          <w:trHeight w:val="362"/>
        </w:trPr>
        <w:tc>
          <w:tcPr>
            <w:tcW w:w="1843"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9"/>
              </w:rPr>
              <w:t>Final</w:t>
            </w:r>
          </w:p>
        </w:tc>
        <w:tc>
          <w:tcPr>
            <w:tcW w:w="1843"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9"/>
              </w:rPr>
              <w:t>Incremento funcional NexusWST</w:t>
            </w:r>
          </w:p>
        </w:tc>
        <w:tc>
          <w:tcPr>
            <w:tcW w:w="3825"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8"/>
              </w:rPr>
              <w:t>Código fuente en GitLab de los componentes desarrollados en Go y Next.js/React, Dockerizados, incluyendo módulos base y flujo de Órdenes de extremo a extremo dentro del alcance acordado.</w:t>
            </w:r>
          </w:p>
        </w:tc>
        <w:tc>
          <w:tcPr>
            <w:tcW w:w="255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8"/>
              </w:rPr>
              <w:t>Permite verificar que el diseño se materializó en una solución funcional e integrada.</w:t>
            </w:r>
          </w:p>
        </w:tc>
      </w:tr>
      <w:tr w:rsidR="00D110EC" w:rsidRPr="00CA29F2" w14:paraId="5A718B97" w14:textId="77777777" w:rsidTr="009D04DC">
        <w:trPr>
          <w:trHeight w:val="362"/>
        </w:trPr>
        <w:tc>
          <w:tcPr>
            <w:tcW w:w="1843"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9"/>
              </w:rPr>
              <w:t>Final</w:t>
            </w:r>
          </w:p>
        </w:tc>
        <w:tc>
          <w:tcPr>
            <w:tcW w:w="1843"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9"/>
              </w:rPr>
              <w:t>Validación, calidad y despliegue</w:t>
            </w:r>
          </w:p>
        </w:tc>
        <w:tc>
          <w:tcPr>
            <w:tcW w:w="3825"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8"/>
              </w:rPr>
              <w:t>Resultados de pruebas unitarias/integración, reportes de SonarQube, historial de ramas/commits/pipeline, documentación técnica y evidencia de ejecución en el entorno definido.</w:t>
            </w:r>
          </w:p>
        </w:tc>
        <w:tc>
          <w:tcPr>
            <w:tcW w:w="255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8"/>
              </w:rPr>
              <w:t>Acredita calidad de software, trazabilidad del desarrollo, integración continua, validación del producto y cierre técnico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blHeader w:val="true"/>
        </w:trPr>
        <w:tc>
          <w:tcPr>
            <w:tcW w:w="11061" w:type="dxa"/>
            <w:gridSpan w:val="7"/>
            <w:tcMar>
              <w:top w:w="70" w:type="dxa"/>
              <w:start w:w="90" w:type="dxa"/>
              <w:bottom w:w="70" w:type="dxa"/>
              <w:end w:w="90" w:type="dxa"/>
            </w:tcMar>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blHeader w:val="true"/>
        </w:trPr>
        <w:tc>
          <w:tcPr>
            <w:tcW w:w="1580" w:type="dxa"/>
            <w:tcMar>
              <w:top w:w="70" w:type="dxa"/>
              <w:start w:w="90" w:type="dxa"/>
              <w:bottom w:w="70" w:type="dxa"/>
              <w:end w:w="90" w:type="dxa"/>
            </w:tcMar>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Mar>
              <w:top w:w="70" w:type="dxa"/>
              <w:start w:w="90" w:type="dxa"/>
              <w:bottom w:w="70" w:type="dxa"/>
              <w:end w:w="90" w:type="dxa"/>
            </w:tcMa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Mar>
              <w:top w:w="70" w:type="dxa"/>
              <w:start w:w="90" w:type="dxa"/>
              <w:bottom w:w="70" w:type="dxa"/>
              <w:end w:w="90" w:type="dxa"/>
            </w:tcMa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Mar>
              <w:top w:w="70" w:type="dxa"/>
              <w:start w:w="90" w:type="dxa"/>
              <w:bottom w:w="70" w:type="dxa"/>
              <w:end w:w="90" w:type="dxa"/>
            </w:tcMa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Mar>
              <w:top w:w="70" w:type="dxa"/>
              <w:start w:w="90" w:type="dxa"/>
              <w:bottom w:w="70" w:type="dxa"/>
              <w:end w:w="90" w:type="dxa"/>
            </w:tcMa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Mar>
              <w:top w:w="70" w:type="dxa"/>
              <w:start w:w="90" w:type="dxa"/>
              <w:bottom w:w="70" w:type="dxa"/>
              <w:end w:w="90" w:type="dxa"/>
            </w:tcMa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Mar>
              <w:top w:w="70" w:type="dxa"/>
              <w:start w:w="90" w:type="dxa"/>
              <w:bottom w:w="70" w:type="dxa"/>
              <w:end w:w="90" w:type="dxa"/>
            </w:tcMa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7458A90"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C3, C4</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Levantamiento y validación de requerimientos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Revisar procesos, necesidades, reglas y restricciones de We Manager con el cliente; consolidar alcance y backlog inicial.</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Reuniones, We Manager, documentos del cliente, Jira</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1-3</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Jean Carlos / Cristopher</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Facilita el acceso directo al cliente. Riesgo: definiciones pendientes; se mitiga validando antes de diseñar.</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C3, C4,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BPMN y definición de alcance</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Construir y validar BPMN As-Is/To-Be del flujo de Órdenes y delimitar responsabilidades de NexusWST frente al WMS Invas.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BPMN, entrevistas, Jira</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2-4</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Cristopher / Jean Carlos</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Dependencia de validación con WeStorage; evitar cerrar el flujo sobre supuestos.</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C2,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Análisis y evolución del modelo de datos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Analizar el esquema actual, relaciones y estados; ajustar PostgreSQL para soportar el alcance priorizado y preparar evolución futura.</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PostgreSQL, pgAdmin, ERD/MER, scripts SQL</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2-5</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Cristopher</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Facilitador: esquema existente. Riesgo: inconsistencias o relaciones faltantes.</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C1,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Diseño de arquitectura y contratos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Definir arquitectura modular/hexagonal, responsabilidades del Orders Service, APIs, Redis, Traefik e integraciones externas.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Diagramas, Go, OpenAPI/documentación técnica</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3-5</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Jean Carlos</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Riesgo: sobrearquitectura; se controla priorizando necesidades reales del alcance.</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C1,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Infraestructura base y calidad</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Preparar repositorio, ramas, Docker, Traefik, CI/CD, SonarQube y configuración de entornos de desarrollo/prueba.</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GitLab, Docker, Traefik, SonarQube, DigitalOcean</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4-6</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Jean Carlos / Cristopher</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Depende de accesos provistos por WeStorage. Se documentan configuraciones y permisos.</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C1, C2,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Módulos base: Clientes, Productos y seguridad</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Implementar Clientes, Productos, autenticación, roles y permisos como base para el flujo de Órdenes.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Go, PostgreSQL, Redis, Next.js/React</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5-8</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Jean Carlos / Cristopher</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 priorizan funciones necesarias para Órdenes; evitar ampliar módulos fuera del alcance.</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C1, C2,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Orders Service y flujo end-to-end</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Desarrollar el ciclo de Órdenes: gestión, preparación/picking, empaque, despacho y entrega al courier, con trazabilidad e integraciones definidas.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Go, PostgreSQL, Redis, APIs, Docker</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7-13</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Jean Carlos / Cristopher</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Actividad crítica. Desarrollo incremental y validación por estados para reducir riesgo.</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C1,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Frontend e integración</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Construir vistas necesarias y conectar Next.js/React con APIs backend y flujo de Órdenes.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Next.js/React, APIs, diseño UI/UX</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9-14</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Jean Carlos</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Branding final puede depender de marketing; priorizar funcionalidad y consistencia.</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C1,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Pruebas, integración y calidad</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Ejecutar pruebas unitarias e integración, revisar SonarQube, corregir hallazgos y validar interoperabilidad con componentes externos.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Testing Go, SonarQube, GitLab, entornos de prueba</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12-16</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Jean Carlos / Cristopher</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Riesgo: fallos tardíos de integración; mitigar probando incrementalmente desde sprints previos.</w:t>
            </w:r>
          </w:p>
        </w:tc>
      </w:tr>
      <w:tr w:rsidR="00D110EC" w:rsidRPr="00A337B2" w14:paraId="50E58212" w14:textId="77777777" w:rsidTr="00C27FB0">
        <w:trPr>
          <w:jc w:val="center"/>
          <w:cantSplit w:val="true"/>
        </w:trPr>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C1, C4, C5</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Validación final, documentación y evidencias</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Estabilizar la solución, consolidar documentación, evidencias, resultados y presentación final.</w:t>
            </w:r>
          </w:p>
        </w:tc>
        <w:tc>
          <w:tcPr>
            <w:tcW w:w="1580"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Jira, GitLab, documentación, evidencias</w:t>
            </w:r>
          </w:p>
        </w:tc>
        <w:tc>
          <w:tcPr>
            <w:tcW w:w="1580" w:type="dxa"/>
            <w:tcBorders>
              <w:right w:val="single" w:sz="4" w:space="0" w:color="FFFFFF" w:themeColor="background1"/>
            </w:tcBorders>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Sem. 16-18</w:t>
            </w:r>
          </w:p>
        </w:tc>
        <w:tc>
          <w:tcPr>
            <w:tcW w:w="1580" w:type="dxa"/>
            <w:tcBorders>
              <w:left w:val="single" w:sz="4" w:space="0" w:color="FFFFFF" w:themeColor="background1"/>
            </w:tcBorders>
            <w:shd w:val="clear" w:color="auto" w:fill="D9D9D9" w:themeFill="background1" w:themeFillShade="D9"/>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Jean Carlos / Cristopher</w:t>
            </w:r>
          </w:p>
        </w:tc>
        <w:tc>
          <w:tcPr>
            <w:tcW w:w="1581" w:type="dxa"/>
            <w:vAlign w:val="top"/>
            <w:tcMar>
              <w:top w:w="70" w:type="dxa"/>
              <w:start w:w="90" w:type="dxa"/>
              <w:bottom w:w="70" w:type="dxa"/>
              <w:end w:w="90" w:type="dxa"/>
            </w:tcMar>
          </w:tcPr>
          <w:p>
            <w:pPr>
              <w:spacing w:after="0" w:before="0" w:line="240" w:lineRule="auto"/>
              <w:jc w:val="left"/>
            </w:pPr>
            <w:r/>
            <w:r>
              <w:rPr>
                <w:rFonts w:ascii="Calibri" w:hAnsi="Calibri"/>
                <w:b w:val="0"/>
                <w:i w:val="0"/>
                <w:color w:val="000000"/>
                <w:sz w:val="14"/>
              </w:rPr>
              <w:t>Reservar tiempo para correcciones finales y retroalimentación del cliente/docente.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spacing w:line="240" w:lineRule="auto" w:after="0"/>
              <w:jc w:val="both"/>
              <w:rPr>
                <w:rFonts w:ascii="Calibri" w:hAnsi="Calibri"/>
                <w:color w:val="1F3864" w:themeColor="accent1" w:themeShade="80"/>
              </w:rPr>
            </w:pPr>
            <w:r w:rsidRPr="00874D16">
              <w:rPr>
                <w:rFonts w:ascii="Calibri" w:hAnsi="Calibri"/>
                <w:color w:val="1F3864" w:themeColor="accent1" w:themeShade="80"/>
                <w:sz w:val="18"/>
              </w:rPr>
              <w:t xml:space="preserve">Busca un formato de Carta Gantt que te acomode y organiza en </w:t>
            </w:r>
            <w:r w:rsidR="009B74E2">
              <w:rPr>
                <w:rFonts w:ascii="Calibri" w:hAnsi="Calibri"/>
                <w:color w:val="1F3864" w:themeColor="accent1" w:themeShade="80"/>
                <w:sz w:val="18"/>
              </w:rPr>
              <w:t>e</w:t>
            </w:r>
            <w:r w:rsidRPr="00874D16">
              <w:rPr>
                <w:rFonts w:ascii="Calibri" w:hAnsi="Calibri"/>
                <w:color w:val="1F3864" w:themeColor="accent1" w:themeShade="80"/>
                <w:sz w:val="18"/>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sz w:val="18"/>
              </w:rPr>
              <w:t>í</w:t>
            </w:r>
            <w:r w:rsidRPr="00874D16">
              <w:rPr>
                <w:rFonts w:ascii="Calibri" w:hAnsi="Calibri"/>
                <w:color w:val="1F3864" w:themeColor="accent1" w:themeShade="80"/>
                <w:sz w:val="18"/>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type="auto" w:w="0"/>
        <w:tblLayout w:type="fixed"/>
        <w:tblLook w:firstColumn="1" w:firstRow="1" w:lastColumn="0" w:lastRow="0" w:noHBand="0" w:noVBand="1" w:val="04A0"/>
      </w:tblPr>
      <w:tblGrid>
        <w:gridCol w:w="2015"/>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2015"/>
            <w:vMerge w:val="restart"/>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6"/>
              </w:rPr>
              <w:t>Actividad</w:t>
            </w:r>
          </w:p>
        </w:tc>
        <w:tc>
          <w:tcPr>
            <w:tcW w:type="dxa" w:w="360"/>
            <w:gridSpan w:val="4"/>
            <w:vAlign w:val="center"/>
            <w:tcMar>
              <w:top w:w="70" w:type="dxa"/>
              <w:start w:w="90" w:type="dxa"/>
              <w:bottom w:w="70" w:type="dxa"/>
              <w:end w:w="90" w:type="dxa"/>
            </w:tcMar>
            <w:shd w:fill="E2F0D9"/>
          </w:tcPr>
          <w:p>
            <w:pPr>
              <w:spacing w:after="0" w:before="0" w:line="240" w:lineRule="auto"/>
              <w:jc w:val="center"/>
            </w:pPr>
            <w:r/>
            <w:r>
              <w:rPr>
                <w:rFonts w:ascii="Calibri" w:hAnsi="Calibri"/>
                <w:b/>
                <w:i w:val="0"/>
                <w:color w:val="000000"/>
                <w:sz w:val="16"/>
              </w:rPr>
              <w:t>Fase 1</w:t>
            </w:r>
          </w:p>
        </w:tc>
        <w:tc>
          <w:tcPr>
            <w:tcW w:type="dxa" w:w="360"/>
            <w:gridSpan w:val="11"/>
            <w:vAlign w:val="center"/>
            <w:tcMar>
              <w:top w:w="70" w:type="dxa"/>
              <w:start w:w="90" w:type="dxa"/>
              <w:bottom w:w="70" w:type="dxa"/>
              <w:end w:w="90" w:type="dxa"/>
            </w:tcMar>
            <w:shd w:fill="FFF2CC"/>
          </w:tcPr>
          <w:p>
            <w:pPr>
              <w:spacing w:after="0" w:before="0" w:line="240" w:lineRule="auto"/>
              <w:jc w:val="center"/>
            </w:pPr>
            <w:r/>
            <w:r>
              <w:rPr>
                <w:rFonts w:ascii="Calibri" w:hAnsi="Calibri"/>
                <w:b/>
                <w:i w:val="0"/>
                <w:color w:val="000000"/>
                <w:sz w:val="16"/>
              </w:rPr>
              <w:t>Fase 2</w:t>
            </w:r>
          </w:p>
        </w:tc>
        <w:tc>
          <w:tcPr>
            <w:tcW w:type="dxa" w:w="360"/>
            <w:gridSpan w:val="3"/>
            <w:vAlign w:val="center"/>
            <w:tcMar>
              <w:top w:w="70" w:type="dxa"/>
              <w:start w:w="90" w:type="dxa"/>
              <w:bottom w:w="70" w:type="dxa"/>
              <w:end w:w="90" w:type="dxa"/>
            </w:tcMar>
            <w:shd w:fill="FCE4D6"/>
          </w:tcPr>
          <w:p>
            <w:pPr>
              <w:spacing w:after="0" w:before="0" w:line="240" w:lineRule="auto"/>
              <w:jc w:val="center"/>
            </w:pPr>
            <w:r/>
            <w:r>
              <w:rPr>
                <w:rFonts w:ascii="Calibri" w:hAnsi="Calibri"/>
                <w:b/>
                <w:i w:val="0"/>
                <w:color w:val="000000"/>
                <w:sz w:val="16"/>
              </w:rPr>
              <w:t>Fase 3</w:t>
            </w:r>
          </w:p>
        </w:tc>
      </w:tr>
      <w:tr>
        <w:tc>
          <w:tcPr>
            <w:tcW w:type="dxa" w:w="2189"/>
            <w:vMerge/>
          </w:tcP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2</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3</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4</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5</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6</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7</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8</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9</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10</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11</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12</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13</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14</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15</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16</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17</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i w:val="0"/>
                <w:color w:val="000000"/>
                <w:sz w:val="14"/>
              </w:rPr>
              <w:t>S 18</w:t>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Requisitos</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BPMN y alcance</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Modelo de datos</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Arquitectura / APIs</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Infraestructura base</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Clientes / Productos / Auth</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Orders Service E2E</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Frontend e integración</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Pruebas y calidad</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r>
      <w:tr>
        <w:tc>
          <w:tcPr>
            <w:tcW w:type="dxa" w:w="2015"/>
            <w:vAlign w:val="center"/>
            <w:tcMar>
              <w:top w:w="70" w:type="dxa"/>
              <w:start w:w="90" w:type="dxa"/>
              <w:bottom w:w="70" w:type="dxa"/>
              <w:end w:w="90" w:type="dxa"/>
            </w:tcMar>
          </w:tcPr>
          <w:p>
            <w:pPr>
              <w:spacing w:after="0" w:before="0" w:line="240" w:lineRule="auto"/>
              <w:jc w:val="left"/>
            </w:pPr>
            <w:r>
              <w:rPr>
                <w:sz w:val="13"/>
              </w:rPr>
            </w:r>
            <w:r>
              <w:rPr>
                <w:rFonts w:ascii="Calibri" w:hAnsi="Calibri"/>
                <w:b w:val="0"/>
                <w:i w:val="0"/>
                <w:color w:val="000000"/>
                <w:sz w:val="13"/>
              </w:rPr>
              <w:t>Cierre y evidencias</w:t>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tcPr>
          <w:p>
            <w:pPr>
              <w:spacing w:after="0" w:before="0" w:line="240" w:lineRule="auto"/>
              <w:jc w:val="center"/>
            </w:pPr>
            <w:r/>
            <w:r>
              <w:rPr>
                <w:rFonts w:ascii="Calibri" w:hAnsi="Calibri"/>
                <w:b w:val="0"/>
                <w:i w:val="0"/>
                <w:color w:val="000000"/>
                <w:sz w:val="14"/>
              </w:rPr>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c>
          <w:tcPr>
            <w:tcW w:type="dxa" w:w="360"/>
            <w:vAlign w:val="center"/>
            <w:tcMar>
              <w:top w:w="70" w:type="dxa"/>
              <w:start w:w="90" w:type="dxa"/>
              <w:bottom w:w="70" w:type="dxa"/>
              <w:end w:w="90" w:type="dxa"/>
            </w:tcMar>
            <w:shd w:fill="D9E2F3"/>
          </w:tcPr>
          <w:p>
            <w:pPr>
              <w:spacing w:after="0" w:before="0" w:line="240" w:lineRule="auto"/>
              <w:jc w:val="center"/>
            </w:pPr>
            <w:r/>
            <w:r>
              <w:rPr>
                <w:rFonts w:ascii="Calibri" w:hAnsi="Calibri"/>
                <w:b/>
                <w:i w:val="0"/>
                <w:color w:val="000000"/>
                <w:sz w:val="14"/>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