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a28538578a7c424ee774da86b86a0398cf1b6508.png"/>
            <a:graphic>
              <a:graphicData uri="http://schemas.openxmlformats.org/drawingml/2006/picture">
                <pic:pic>
                  <pic:nvPicPr>
                    <pic:cNvPr id="1" name="image-a28538578a7c424ee774da86b86a0398cf1b6508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Estimation des coûts pour le salon de coiffure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Voici une estimation détaillée des coûts en euros pour la mise en place du salon de coiffure décrit :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Mobilier et équipements techniques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Fauteuils de coiffure</w:t>
      </w:r>
      <w:r>
        <w:rPr>
          <w:rFonts w:eastAsia="inter" w:cs="inter" w:ascii="inter" w:hAnsi="inter"/>
          <w:color w:val="000000"/>
          <w:sz w:val="21"/>
        </w:rPr>
        <w:t xml:space="preserve"> : 50 fauteuils à 300 € chacun → </w:t>
      </w:r>
      <w:r>
        <w:rPr>
          <w:rFonts w:eastAsia="inter" w:cs="inter" w:ascii="inter" w:hAnsi="inter"/>
          <w:b/>
          <w:color w:val="000000"/>
          <w:sz w:val="21"/>
        </w:rPr>
        <w:t xml:space="preserve">15 000 €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Miroirs</w:t>
      </w:r>
      <w:r>
        <w:rPr>
          <w:rFonts w:eastAsia="inter" w:cs="inter" w:ascii="inter" w:hAnsi="inter"/>
          <w:color w:val="000000"/>
          <w:sz w:val="21"/>
        </w:rPr>
        <w:t xml:space="preserve"> : 10 miroirs à 400 € chacun → </w:t>
      </w:r>
      <w:r>
        <w:rPr>
          <w:rFonts w:eastAsia="inter" w:cs="inter" w:ascii="inter" w:hAnsi="inter"/>
          <w:b/>
          <w:color w:val="000000"/>
          <w:sz w:val="21"/>
        </w:rPr>
        <w:t xml:space="preserve">4 000 €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Écrans pour divertissement</w:t>
      </w:r>
      <w:r>
        <w:rPr>
          <w:rFonts w:eastAsia="inter" w:cs="inter" w:ascii="inter" w:hAnsi="inter"/>
          <w:color w:val="000000"/>
          <w:sz w:val="21"/>
        </w:rPr>
        <w:t xml:space="preserve"> : 5 écrans à 500 € chacun → </w:t>
      </w:r>
      <w:r>
        <w:rPr>
          <w:rFonts w:eastAsia="inter" w:cs="inter" w:ascii="inter" w:hAnsi="inter"/>
          <w:b/>
          <w:color w:val="000000"/>
          <w:sz w:val="21"/>
        </w:rPr>
        <w:t xml:space="preserve">2 500 €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Équipements techniques divers (ciseaux, tondeuses, sèche-cheveux, etc.)</w:t>
      </w:r>
      <w:r>
        <w:rPr>
          <w:rFonts w:eastAsia="inter" w:cs="inter" w:ascii="inter" w:hAnsi="inter"/>
          <w:color w:val="000000"/>
          <w:sz w:val="21"/>
        </w:rPr>
        <w:t xml:space="preserve"> : </w:t>
      </w:r>
      <w:r>
        <w:rPr>
          <w:rFonts w:eastAsia="inter" w:cs="inter" w:ascii="inter" w:hAnsi="inter"/>
          <w:b/>
          <w:color w:val="000000"/>
          <w:sz w:val="21"/>
        </w:rPr>
        <w:t xml:space="preserve">10 000 €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Sous-total : 31 500 €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Design intérieur et installation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Aménagement intérieur (200 m² à 60 €/m²)</w:t>
      </w:r>
      <w:r>
        <w:rPr>
          <w:rFonts w:eastAsia="inter" w:cs="inter" w:ascii="inter" w:hAnsi="inter"/>
          <w:color w:val="000000"/>
          <w:sz w:val="21"/>
        </w:rPr>
        <w:t xml:space="preserve"> : </w:t>
      </w:r>
      <w:r>
        <w:rPr>
          <w:rFonts w:eastAsia="inter" w:cs="inter" w:ascii="inter" w:hAnsi="inter"/>
          <w:b/>
          <w:color w:val="000000"/>
          <w:sz w:val="21"/>
        </w:rPr>
        <w:t xml:space="preserve">12 000 €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Éclairage</w:t>
      </w:r>
      <w:r>
        <w:rPr>
          <w:rFonts w:eastAsia="inter" w:cs="inter" w:ascii="inter" w:hAnsi="inter"/>
          <w:color w:val="000000"/>
          <w:sz w:val="21"/>
        </w:rPr>
        <w:t xml:space="preserve"> : Installation estimée à </w:t>
      </w:r>
      <w:r>
        <w:rPr>
          <w:rFonts w:eastAsia="inter" w:cs="inter" w:ascii="inter" w:hAnsi="inter"/>
          <w:b/>
          <w:color w:val="000000"/>
          <w:sz w:val="21"/>
        </w:rPr>
        <w:t xml:space="preserve">5 000 €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Installation d’un réfrigérateur et espace boissons</w:t>
      </w:r>
      <w:r>
        <w:rPr>
          <w:rFonts w:eastAsia="inter" w:cs="inter" w:ascii="inter" w:hAnsi="inter"/>
          <w:color w:val="000000"/>
          <w:sz w:val="21"/>
        </w:rPr>
        <w:t xml:space="preserve"> : </w:t>
      </w:r>
      <w:r>
        <w:rPr>
          <w:rFonts w:eastAsia="inter" w:cs="inter" w:ascii="inter" w:hAnsi="inter"/>
          <w:b/>
          <w:color w:val="000000"/>
          <w:sz w:val="21"/>
        </w:rPr>
        <w:t xml:space="preserve">2 000 €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Sous-total : 19 000 €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Véhicules pour transport des clients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Achat de deux véhicules adaptés (50 000 € par véhicule) → </w:t>
      </w:r>
      <w:r>
        <w:rPr>
          <w:rFonts w:eastAsia="inter" w:cs="inter" w:ascii="inter" w:hAnsi="inter"/>
          <w:b/>
          <w:color w:val="000000"/>
          <w:sz w:val="21"/>
        </w:rPr>
        <w:t xml:space="preserve">100 000 €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Formation professionnelle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Programme de formation pour coiffeurs/coiffeuses → </w:t>
      </w:r>
      <w:r>
        <w:rPr>
          <w:rFonts w:eastAsia="inter" w:cs="inter" w:ascii="inter" w:hAnsi="inter"/>
          <w:b/>
          <w:color w:val="000000"/>
          <w:sz w:val="21"/>
        </w:rPr>
        <w:t xml:space="preserve">11 000 €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Total estimé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Addition des sous-totaux :</w:t>
      </w:r>
    </w:p>
    <w:p>
      <w:pPr>
        <w:spacing w:line="360" w:after="210" w:lineRule="auto"/>
      </w:pPr>
      <m:oMathPara>
        <m:oMath>
          <m:r>
            <m:rPr>
              <m:sty m:val="p"/>
            </m:rPr>
            <w:rPr>
              <w:color w:val="000000"/>
            </w:rPr>
            <m:t>31</m:t>
          </m:r>
          <m:r>
            <m:rPr>
              <m:sty m:val="p"/>
            </m:rPr>
            <w:rPr>
              <w:color w:val="000000"/>
            </w:rPr>
            <m:t xml:space="preserve"> </m:t>
          </m:r>
          <m:r>
            <m:rPr>
              <m:sty m:val="p"/>
            </m:rPr>
            <w:rPr>
              <w:color w:val="000000"/>
            </w:rPr>
            <m:t>500</m:t>
          </m:r>
          <m:r>
            <m:rPr>
              <m:sty m:val="p"/>
            </m:rPr>
            <w:rPr>
              <w:color w:val="000000"/>
            </w:rPr>
            <m:t>+</m:t>
          </m:r>
          <m:r>
            <m:rPr>
              <m:sty m:val="p"/>
            </m:rPr>
            <w:rPr>
              <w:color w:val="000000"/>
            </w:rPr>
            <m:t>19</m:t>
          </m:r>
          <m:r>
            <m:rPr>
              <m:sty m:val="p"/>
            </m:rPr>
            <w:rPr>
              <w:color w:val="000000"/>
            </w:rPr>
            <m:t xml:space="preserve"> </m:t>
          </m:r>
          <m:r>
            <m:rPr>
              <m:sty m:val="p"/>
            </m:rPr>
            <w:rPr>
              <w:color w:val="000000"/>
            </w:rPr>
            <m:t>000</m:t>
          </m:r>
          <m:r>
            <m:rPr>
              <m:sty m:val="p"/>
            </m:rPr>
            <w:rPr>
              <w:color w:val="000000"/>
            </w:rPr>
            <m:t>+</m:t>
          </m:r>
          <m:r>
            <m:rPr>
              <m:sty m:val="p"/>
            </m:rPr>
            <w:rPr>
              <w:color w:val="000000"/>
            </w:rPr>
            <m:t>100</m:t>
          </m:r>
          <m:r>
            <m:rPr>
              <m:sty m:val="p"/>
            </m:rPr>
            <w:rPr>
              <w:color w:val="000000"/>
            </w:rPr>
            <m:t xml:space="preserve"> </m:t>
          </m:r>
          <m:r>
            <m:rPr>
              <m:sty m:val="p"/>
            </m:rPr>
            <w:rPr>
              <w:color w:val="000000"/>
            </w:rPr>
            <m:t>000</m:t>
          </m:r>
          <m:r>
            <m:rPr>
              <m:sty m:val="p"/>
            </m:rPr>
            <w:rPr>
              <w:color w:val="000000"/>
            </w:rPr>
            <m:t>+</m:t>
          </m:r>
          <m:r>
            <m:rPr>
              <m:sty m:val="p"/>
            </m:rPr>
            <w:rPr>
              <w:color w:val="000000"/>
            </w:rPr>
            <m:t>11</m:t>
          </m:r>
          <m:r>
            <m:rPr>
              <m:sty m:val="p"/>
            </m:rPr>
            <w:rPr>
              <w:color w:val="000000"/>
            </w:rPr>
            <m:t xml:space="preserve"> </m:t>
          </m:r>
          <m:r>
            <m:rPr>
              <m:sty m:val="p"/>
            </m:rPr>
            <w:rPr>
              <w:color w:val="000000"/>
            </w:rPr>
            <m:t>000</m:t>
          </m:r>
          <m:r>
            <m:rPr>
              <m:sty m:val="p"/>
            </m:rPr>
            <w:rPr>
              <w:color w:val="000000"/>
            </w:rPr>
            <m:t>=</m:t>
          </m:r>
          <m:r>
            <m:rPr>
              <m:sty m:val="b"/>
            </m:rPr>
            <w:rPr>
              <w:color w:val="000000"/>
            </w:rPr>
            <m:t>161</m:t>
          </m:r>
          <m:r>
            <m:rPr>
              <m:sty m:val="p"/>
            </m:rPr>
            <w:rPr>
              <w:color w:val="000000"/>
            </w:rPr>
            <m:t xml:space="preserve"> </m:t>
          </m:r>
          <m:r>
            <m:rPr>
              <m:sty m:val="b"/>
            </m:rPr>
            <w:rPr>
              <w:color w:val="000000"/>
            </w:rPr>
            <m:t>500</m:t>
          </m:r>
          <m:r>
            <m:rPr>
              <m:sty m:val="p"/>
            </m:rPr>
            <w:rPr>
              <w:color w:val="000000"/>
            </w:rPr>
            <m:t xml:space="preserve"> </m:t>
          </m:r>
          <m:r>
            <m:rPr>
              <m:sty m:val="b"/>
            </m:rPr>
            <w:rPr>
              <w:color w:val="000000"/>
            </w:rPr>
            <m:t>€</m:t>
          </m:r>
        </m:oMath>
      </m:oMathPara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Remarques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Les coûts sont basés sur des estimations moyennes et peuvent varier selon les fournisseurs et la localisation.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Les frais supplémentaires tels que les permis, le marketing, et les imprévus ne sont pas inclus dans cette estimation.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L’investissement dans des équipements durables et éco-énergétiques pourrait réduire les coûts à long terme.</w:t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" w:name="fn1"/>
    <w:bookmarkEnd w:id="1"/>
    <w:p>
      <w:pPr>
        <w:numPr>
          <w:ilvl w:val="0"/>
          <w:numId w:val="7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https://www.unitopledstrip.com/how-to-choose-salon-light/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6">
    <w:multiLevelType w:val="hybridMultilevel"/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fr-FR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fr-FR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a28538578a7c424ee774da86b86a0398cf1b6508.png" TargetMode="Internal"/><Relationship Id="rId6" Type="http://schemas.openxmlformats.org/officeDocument/2006/relationships/hyperlink" Target="https://www.unitopledstrip.com/how-to-choose-salon-light/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2025-04-05T08:33:42.986Z</dcterms:created>
  <dcterms:modified xsi:type="dcterms:W3CDTF">2025-04-05T08:33:42.986Z</dcterms:modified>
</cp:coreProperties>
</file>