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AB0A" w14:textId="77777777" w:rsidR="00FB7709" w:rsidRDefault="00FB7709" w:rsidP="00FB7709">
      <w:r>
        <w:t>Attribution de bourses</w:t>
      </w:r>
    </w:p>
    <w:p w14:paraId="3AA19ADD" w14:textId="77777777" w:rsidR="00FB7709" w:rsidRDefault="00FB7709" w:rsidP="00FB7709">
      <w:r>
        <w:t>Tous gabonais scolarisé et remplissant les conditions et critères d'attribution contenus dans les textes règlementaires peut prétendre à la bourse.</w:t>
      </w:r>
    </w:p>
    <w:p w14:paraId="64BEF06B" w14:textId="77777777" w:rsidR="00FB7709" w:rsidRDefault="00FB7709" w:rsidP="00FB7709">
      <w:r>
        <w:t>Le droit à la bourse concerne les élèves de l'enseignement secondaire et les stagiaires des centres de formations professionnelle, ainsi que les étudiants de</w:t>
      </w:r>
    </w:p>
    <w:p w14:paraId="0C1A1470" w14:textId="568C16F7" w:rsidR="00FB7709" w:rsidRDefault="00FB7709" w:rsidP="00FB7709">
      <w:r>
        <w:t>L’enseignement</w:t>
      </w:r>
      <w:r>
        <w:t xml:space="preserve"> supérieur de nationalité gabonaise. Pour les élèves d'enseignement secondaire et des centres de formation professionnelle, ils doivent effectuer des</w:t>
      </w:r>
    </w:p>
    <w:p w14:paraId="5F8EBED0" w14:textId="77777777" w:rsidR="00FB7709" w:rsidRDefault="00FB7709" w:rsidP="00FB7709">
      <w:r>
        <w:t>études régulières dans un établissement public ou privé partenaire de l'Etat et être en situation de succès.</w:t>
      </w:r>
    </w:p>
    <w:p w14:paraId="023B1F43" w14:textId="77777777" w:rsidR="00FB7709" w:rsidRDefault="00FB7709" w:rsidP="00FB7709">
      <w:r>
        <w:t>Cf. article 7 décret 404/PR/MENESTFPRSCJS du 26 septembre 2012</w:t>
      </w:r>
    </w:p>
    <w:p w14:paraId="312AFDD2" w14:textId="77777777" w:rsidR="00FB7709" w:rsidRDefault="00FB7709" w:rsidP="00FB7709">
      <w:r>
        <w:t>Réorientation et transfert</w:t>
      </w:r>
    </w:p>
    <w:p w14:paraId="595828C6" w14:textId="77777777" w:rsidR="00FB7709" w:rsidRDefault="00FB7709" w:rsidP="00FB7709">
      <w:r>
        <w:t>Au Gabon, dès la première année d'études supérieures, la réorientation est possible sur demande de l'étudiant boursier adressé à la Direction Générale de l'Agence</w:t>
      </w:r>
    </w:p>
    <w:p w14:paraId="2621095A" w14:textId="77777777" w:rsidR="00FB7709" w:rsidRDefault="00FB7709" w:rsidP="00FB7709">
      <w:r>
        <w:t>Nationale des Bourses du Gabon. Cette demande doit être accompagnée d'une préinscription délivrée par l'établissement, l'inscription définitive ne pouvant être</w:t>
      </w:r>
    </w:p>
    <w:p w14:paraId="5C7077DE" w14:textId="2F7128E2" w:rsidR="00FB7709" w:rsidRDefault="00FB7709" w:rsidP="00FB7709">
      <w:r>
        <w:t>Effectuée</w:t>
      </w:r>
      <w:r>
        <w:t xml:space="preserve"> par les universités ou les grandes écoles aux étudiants allocataires de l'Etat que sur présentation d'une attestation délivrée à cet effet par l'ANBG.</w:t>
      </w:r>
    </w:p>
    <w:p w14:paraId="61B36600" w14:textId="77777777" w:rsidR="00FB7709" w:rsidRDefault="00FB7709" w:rsidP="00FB7709">
      <w:r>
        <w:t>Toute demande de transfert à l'étranger ne peut recevoir une suite favorable que lorsqu'elle est transmise par les voies régulières chargées de l'apprécier, notamment</w:t>
      </w:r>
    </w:p>
    <w:p w14:paraId="3A5CEC7C" w14:textId="090ABC63" w:rsidR="00FB7709" w:rsidRDefault="00FB7709" w:rsidP="00FB7709">
      <w:r>
        <w:t>Les</w:t>
      </w:r>
      <w:r>
        <w:t xml:space="preserve"> chefs d'établissement, les organismes chargés de la gestion des boursiers et lorsque la validation de la scolarité antérieure est garantie en tenant compte du jeu</w:t>
      </w:r>
    </w:p>
    <w:p w14:paraId="19E92CC3" w14:textId="77777777" w:rsidR="00FB7709" w:rsidRDefault="00FB7709" w:rsidP="00FB7709">
      <w:r>
        <w:t>d'équivalences entre pays d'origine et pays d'accueil.</w:t>
      </w:r>
    </w:p>
    <w:p w14:paraId="2166F4E8" w14:textId="77777777" w:rsidR="00FB7709" w:rsidRDefault="00FB7709" w:rsidP="00FB7709">
      <w:r>
        <w:t>Cf article 20-21 du décret 404/PR/MENESTFPRSCJS du 26 septembre 2012</w:t>
      </w:r>
    </w:p>
    <w:p w14:paraId="05CE2760" w14:textId="77777777" w:rsidR="00FB7709" w:rsidRDefault="00FB7709" w:rsidP="00FB7709">
      <w:r>
        <w:t>Suspension</w:t>
      </w:r>
    </w:p>
    <w:p w14:paraId="50C93F1A" w14:textId="77777777" w:rsidR="00FB7709" w:rsidRDefault="00FB7709" w:rsidP="00FB7709">
      <w:r>
        <w:t>La suspension de l'allocation pour l'année académique en cours est prononcée d'office par l'Agence Nationale des Bourses du Gabon dans les cas suivants:</w:t>
      </w:r>
    </w:p>
    <w:p w14:paraId="5386AF3F" w14:textId="5233BA5D" w:rsidR="00FB7709" w:rsidRDefault="00FB7709" w:rsidP="00FB7709">
      <w:pPr>
        <w:pStyle w:val="Paragraphedeliste"/>
        <w:numPr>
          <w:ilvl w:val="0"/>
          <w:numId w:val="1"/>
        </w:numPr>
      </w:pPr>
      <w:r>
        <w:t>Les résultats de l'étudiant boursier n'ont pas été transmis après chaque semestre dans les délais requis;</w:t>
      </w:r>
    </w:p>
    <w:p w14:paraId="70FDE5D1" w14:textId="1CD0ABAA" w:rsidR="00FB7709" w:rsidRDefault="00FB7709" w:rsidP="00FB7709">
      <w:pPr>
        <w:pStyle w:val="Paragraphedeliste"/>
        <w:numPr>
          <w:ilvl w:val="0"/>
          <w:numId w:val="1"/>
        </w:numPr>
      </w:pPr>
      <w:r>
        <w:t>Un certificat de scolarité ou d'inscription n'a pas été transmis à l'Agence Nationale des Bourses du Gabon ou à l'organisme de gestion des bourses pour le cas</w:t>
      </w:r>
    </w:p>
    <w:p w14:paraId="57666C46" w14:textId="54B9A134" w:rsidR="00FB7709" w:rsidRDefault="00FB7709" w:rsidP="00FB7709">
      <w:r>
        <w:t>Des</w:t>
      </w:r>
      <w:r>
        <w:t xml:space="preserve"> étudiants résidant hors du Gabon dans les délais requis.</w:t>
      </w:r>
    </w:p>
    <w:p w14:paraId="0F54A242" w14:textId="021D6448" w:rsidR="00FB7709" w:rsidRDefault="00FB7709" w:rsidP="00FB7709">
      <w:pPr>
        <w:pStyle w:val="Paragraphedeliste"/>
        <w:numPr>
          <w:ilvl w:val="0"/>
          <w:numId w:val="2"/>
        </w:numPr>
      </w:pPr>
      <w:r>
        <w:t>Le boursier a changé d'orientation sans l'avis favorable de la commission technique.</w:t>
      </w:r>
    </w:p>
    <w:p w14:paraId="3CE175E0" w14:textId="77777777" w:rsidR="00FB7709" w:rsidRDefault="00FB7709" w:rsidP="00FB7709">
      <w:r>
        <w:t>Cf article 22 du décret 404/PR/MENESTFPRSCJS du 26 septembre 2012</w:t>
      </w:r>
    </w:p>
    <w:p w14:paraId="57B49BC7" w14:textId="3073D92F" w:rsidR="00451EED" w:rsidRDefault="00FB7709" w:rsidP="00FB7709">
      <w:r>
        <w:t>Lire l'intégralité du décret 404/PR/MENESTFPRSCJS du 26 septembre 2012 ICI</w:t>
      </w:r>
    </w:p>
    <w:sectPr w:rsidR="00451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911"/>
    <w:multiLevelType w:val="hybridMultilevel"/>
    <w:tmpl w:val="18ACCEC0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C9C65F1"/>
    <w:multiLevelType w:val="hybridMultilevel"/>
    <w:tmpl w:val="38DE1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8"/>
    <w:rsid w:val="00451EED"/>
    <w:rsid w:val="00691166"/>
    <w:rsid w:val="0082214F"/>
    <w:rsid w:val="0090761D"/>
    <w:rsid w:val="00C82828"/>
    <w:rsid w:val="00F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B8FB"/>
  <w15:chartTrackingRefBased/>
  <w15:docId w15:val="{04C70256-C7EF-4413-81B4-AA78C70D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361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3</cp:revision>
  <dcterms:created xsi:type="dcterms:W3CDTF">2024-07-07T17:30:00Z</dcterms:created>
  <dcterms:modified xsi:type="dcterms:W3CDTF">2024-07-07T17:48:00Z</dcterms:modified>
</cp:coreProperties>
</file>