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9C6B15"/>
          <w:spacing w:val="40"/>
          <w:sz w:val="16"/>
          <w:szCs w:val="16"/>
        </w:rPr>
        <w:t xml:space="preserve">CJP AI PERSONA KIOSK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F3864"/>
          <w:sz w:val="28"/>
          <w:szCs w:val="28"/>
        </w:rPr>
        <w:t xml:space="preserve">Retrieval Stages — Method, Basis &amp; Performance Comparison</w:t>
      </w:r>
    </w:p>
    <w:p>
      <w:pPr>
        <w:pBdr>
          <w:bottom w:val="single" w:color="9C6B15" w:sz="12" w:space="1"/>
        </w:pBdr>
        <w:spacing w:after="60"/>
      </w:pPr>
      <w:r>
        <w:t xml:space="preserve"/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Baseline arch-baseline-v3 (pre-tuning). Latency is measured (40 queries). “Basis” reflects decisions from the architecture sessions; “performance comparison” is directional — recall figures from benchmarks/corpus analysis, latency measured where available.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820"/>
        <w:gridCol w:w="820"/>
        <w:gridCol w:w="900"/>
        <w:gridCol w:w="4460"/>
        <w:gridCol w:w="4780"/>
      </w:tblGrid>
      <w:tr>
        <w:trPr>
          <w:tblHeader/>
        </w:trPr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p50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(ms)</w:t>
            </w:r>
          </w:p>
        </w:tc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p95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(ms)</w:t>
            </w:r>
          </w:p>
        </w:tc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this method (the basis)</w:t>
            </w:r>
          </w:p>
        </w:tc>
        <w:tc>
          <w:tcPr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Performance comparison (vs the alternative)</w:t>
            </w:r>
          </w:p>
        </w:tc>
      </w:tr>
      <w:tr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Query embed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(bge-large-en-v1.5)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535.1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549.2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~86%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Dense semantic (meaning) match needs an embedder. bge-large is the strongest local/open English model (1024-dim), keeping retrieval OFFLINE — no API on the hot path, and data-governance-safe for a foundation's legal corpus.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MiniLM (384-dim, ~90MB): several× faster but ~12 pts lower recall. vs OpenAI text-embedding-3: adds network latency + per-call cost + data-governance risk. bge = best recall, heaviest → THE bottleneck. Bake-off pending Dok (W3.4).</w:t>
            </w:r>
          </w:p>
        </w:tc>
      </w:tr>
      <w:tr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BM25 sparse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71.2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111.4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~11%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Exact keyword/citation matching that embeddings miss (case names, statute numbers). Corpus analysis: 94% of keywords appear in ONE doc, 91% are multi-word → curated atomic-phrase dictionary. Non-negotiable alongside dense.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TF-IDF: rejected — corpus stats (one-doc, multi-word terms) fit BM25 far better. vs dense-only: misses exact legal identifiers entirely. BM25 = standard robust sparse ranker; 71ms acceptable.</w:t>
            </w:r>
          </w:p>
        </w:tc>
      </w:tr>
      <w:tr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Centroid scoring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(soft-prior)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5.8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7.9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~1%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Topics modeled as semantic dimensions (centroids) that BIAS retrieval toward the right theme rather than hard-gate it. Built on a 34-topic curated taxonomy.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hard topic gate: a wrong route drops recall to ~0 for that query; the soft-prior only nudges, preserving recall. vs no topic model: less thematic precision. Cheap at ~6ms.</w:t>
            </w:r>
          </w:p>
        </w:tc>
      </w:tr>
      <w:tr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Dense search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2.5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3.8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&lt;1%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Brute-force EXACT cosine over the pilot index (827 chunks × 1024-dim). Exact (no approximation error) and sub-3ms at this scale.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ANN (HNSW/FAISS): unnecessary at 827 chunks; ANN is the documented SCALE-PATH once the corpus grows large. Brute-force = exact + trivially fast here.</w:t>
            </w:r>
          </w:p>
        </w:tc>
      </w:tr>
      <w:tr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RRF fusion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1.9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&lt;1%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Reciprocal Rank Fusion merges the dense + sparse result lists by RANK, so the two arms' incompatible score scales never need calibrating. Robust and parameter-light.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weighted score fusion: needs per-arm score normalization + tuning and is brittle. RRF = rank-based, robust, effectively free.</w:t>
            </w:r>
          </w:p>
        </w:tc>
      </w:tr>
      <w:tr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Cutoff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(softmax-temp nucleus)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1.9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&lt;1%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Adaptive RELEVANCE cutoff (softmax-temp 0.06, MIN_K=4, ceiling 12): keep chunks by relevance, not a fixed count → −28% input tokens with no grounding loss.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flat top-k: fixed count, wasteful/degenerate over fused scores. vs naïve top-p on flat RRF: was degenerate (kept ~753/827 chunks). Softmax-temp = the working version.</w:t>
            </w:r>
          </w:p>
        </w:tc>
      </w:tr>
      <w:tr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Router</w:t>
            </w:r>
          </w:p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(deterministic soft-prior)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0.19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0.26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~0%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Deterministic code routing (centroid cosine + softmax). The Haiku LLM router was REMOVED → zero LLM calls before composition, fully reproducible.</w:t>
            </w:r>
          </w:p>
        </w:tc>
        <w:tc>
          <w:tcPr>
            <w:shd w:fill="FFFFF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vs Haiku LLM router: hundreds of ms + per-call cost + non-determinism. Deterministic = 3+ orders of magnitude faster, free, reproducible.</w:t>
            </w:r>
          </w:p>
        </w:tc>
      </w:tr>
      <w:tr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Retrieval TOTAL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620.7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674.2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shd w:fill="EFEFEF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embed dominates (86%); everything else combined is &lt;15%. One lever — the embedder — moves nearly the whole retrieval budget.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How to read this: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every stage is a deliberate trade, and the pattern is consistent — the cheap stages (router, fusion, cutoff, dense) chose the exact/deterministic option because at pilot scale it costs nothing, while the two expensive stages (embed, BM25) chose the higher-quality option and pay for it. The single decision that matters most is the embed: it is 86% of the budget, it is the one stage with a live alternative (MiniLM), and it is far worse on the robot's GPU-less CM4 — which is exactly why the W3.4 bake-off treats on-device latency as a hard pass/fail, not a footnote.</w:t>
      </w:r>
    </w:p>
    <w:sectPr>
      <w:pgSz w:w="12240" w:h="158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2026-07-10T18:00:37.812Z</dcterms:created>
  <dcterms:modified xsi:type="dcterms:W3CDTF">2026-07-10T18:00:37.832Z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