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0000"/>
          <w:sz w:val="34"/>
          <w:szCs w:val="34"/>
        </w:rPr>
        <w:t xml:space="preserve">CJP Conversational Robot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Evaluation Methodology &amp; Pilot Results — How Each Result Is Computed</w:t>
      </w:r>
    </w:p>
    <w:p>
      <w:pPr>
        <w:pBdr>
          <w:bottom w:val="single" w:color="000000" w:sz="8" w:space="2"/>
        </w:pBdr>
        <w:spacing w:after="140"/>
      </w:pPr>
      <w:r>
        <w:rPr>
          <w:color w:val="000000"/>
        </w:rPr>
        <w:t xml:space="preserve"/>
      </w:r>
    </w:p>
    <w:p>
      <w:pPr>
        <w:spacing w:after="100" w:line="264"/>
      </w:pPr>
      <w:r>
        <w:rPr>
          <w:b/>
          <w:bCs/>
          <w:color w:val="000000"/>
        </w:rPr>
        <w:t xml:space="preserve">Purpose. </w:t>
      </w:r>
      <w:r>
        <w:rPr>
          <w:color w:val="000000"/>
        </w:rPr>
        <w:t xml:space="preserve">This guide explains, in plain terms, how every evaluation metric for the CJP robot is calculated — what it measures, the equation, the process, the target, the source [n] — then reports the first pilot results (run w2.1) with discussion. Metric definitions cite their origin papers; the LLM-era methods (RAG, faithfulness, LLM-as-judge, neural MOS) cite current 2023–2025 work. Symbols: Σ = sum; |X| = size of set X; a·b = dot product; ||a|| = vector length.</w:t>
      </w:r>
    </w:p>
    <w:p>
      <w:pPr>
        <w:pStyle w:val="Heading1"/>
      </w:pPr>
      <w:r>
        <w:rPr>
          <w:color w:val="000000"/>
        </w:rPr>
        <w:t xml:space="preserve">0.  The three ways a result is produced</w:t>
      </w:r>
    </w:p>
    <w:p>
      <w:pPr>
        <w:spacing w:after="100" w:line="264"/>
      </w:pPr>
      <w:r>
        <w:rPr>
          <w:color w:val="000000"/>
        </w:rPr>
        <w:t xml:space="preserve">Every metric is produced by one of three mechanisms:</w:t>
      </w:r>
    </w:p>
    <w:p>
      <w:pPr>
        <w:spacing w:after="100" w:line="264"/>
      </w:pPr>
      <w:r>
        <w:rPr>
          <w:b/>
          <w:bCs/>
          <w:color w:val="000000"/>
        </w:rPr>
        <w:t xml:space="preserve">(a) Automatic count/timing — </w:t>
      </w:r>
      <w:r>
        <w:rPr>
          <w:color w:val="000000"/>
        </w:rPr>
        <w:t xml:space="preserve">computed directly from logs (latency, retrieval hits). No judgment needed.</w:t>
      </w:r>
    </w:p>
    <w:p>
      <w:pPr>
        <w:spacing w:after="100" w:line="264"/>
      </w:pPr>
      <w:r>
        <w:rPr>
          <w:b/>
          <w:bCs/>
          <w:color w:val="000000"/>
        </w:rPr>
        <w:t xml:space="preserve">(b) LLM-as-judge — </w:t>
      </w:r>
      <w:r>
        <w:rPr>
          <w:color w:val="000000"/>
        </w:rPr>
        <w:t xml:space="preserve">a separate language model scores the answer against the gold grounding (faithfulness, factual accuracy). Now the standard way to scale expert-style judgement, with known biases to control for [20,21].</w:t>
      </w:r>
    </w:p>
    <w:p>
      <w:pPr>
        <w:spacing w:after="100" w:line="264"/>
      </w:pPr>
      <w:r>
        <w:rPr>
          <w:b/>
          <w:bCs/>
          <w:color w:val="000000"/>
        </w:rPr>
        <w:t xml:space="preserve">(c) Human rating — </w:t>
      </w:r>
      <w:r>
        <w:rPr>
          <w:color w:val="000000"/>
        </w:rPr>
        <w:t xml:space="preserve">≥ 3 trained raters score against a rubric; agreement is reported (Section 10).</w:t>
      </w:r>
    </w:p>
    <w:p>
      <w:pPr>
        <w:pStyle w:val="Heading1"/>
      </w:pPr>
      <w:r>
        <w:rPr>
          <w:color w:val="000000"/>
        </w:rPr>
        <w:t xml:space="preserve">1.  The gold standard (reference set)</w:t>
      </w:r>
    </w:p>
    <w:p>
      <w:pPr>
        <w:spacing w:after="100" w:line="264"/>
      </w:pPr>
      <w:r>
        <w:rPr>
          <w:color w:val="000000"/>
        </w:rPr>
        <w:t xml:space="preserve">Most metrics are scored against a gold standard — a reference of what a correct answer must rest on. It is not a single “correct sentence” to reproduce; it records the sources and facts the answer should be consistent with, so many valid phrasings can score well.</w:t>
      </w:r>
    </w:p>
    <w:p>
      <w:pPr>
        <w:pStyle w:val="Heading2"/>
      </w:pPr>
      <w:r>
        <w:rPr>
          <w:color w:val="000000"/>
        </w:rPr>
        <w:t xml:space="preserve">1.1  What each gold entry contains</w:t>
      </w:r>
    </w:p>
    <w:p>
      <w:pPr>
        <w:spacing w:after="100" w:line="264"/>
      </w:pPr>
      <w:r>
        <w:rPr>
          <w:color w:val="000000"/>
        </w:rPr>
        <w:t xml:space="preserve">For each of the 40 pilot queries: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color w:val="000000"/>
        </w:rPr>
        <w:t xml:space="preserve">acceptable primary source(s): </w:t>
      </w:r>
      <w:r>
        <w:rPr>
          <w:color w:val="000000"/>
        </w:rPr>
        <w:t xml:space="preserve">the small set of corpus document(s) the question is genuinely about (any one counts as correct);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color w:val="000000"/>
        </w:rPr>
        <w:t xml:space="preserve">grounding summary: </w:t>
      </w:r>
      <w:r>
        <w:rPr>
          <w:color w:val="000000"/>
        </w:rPr>
        <w:t xml:space="preserve">a faithful summary of those documents, used to judge whether the answer's claims are supported;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color w:val="000000"/>
        </w:rPr>
        <w:t xml:space="preserve">scope label: </w:t>
      </w:r>
      <w:r>
        <w:rPr>
          <w:color w:val="000000"/>
        </w:rPr>
        <w:t xml:space="preserve">in-scope, out-of-scope (should decline), meta, or gap;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color w:val="000000"/>
        </w:rPr>
        <w:t xml:space="preserve">high-stakes fact: </w:t>
      </w:r>
      <w:r>
        <w:rPr>
          <w:color w:val="000000"/>
        </w:rPr>
        <w:t xml:space="preserve">for rulings/votes/dates/quotes, the exact fact that must be correct;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color w:val="000000"/>
        </w:rPr>
        <w:t xml:space="preserve">the model's answer </w:t>
      </w:r>
      <w:r>
        <w:rPr>
          <w:color w:val="000000"/>
        </w:rPr>
        <w:t xml:space="preserve">from the run, so it can be judged.</w:t>
      </w:r>
    </w:p>
    <w:p>
      <w:pPr>
        <w:pStyle w:val="Heading2"/>
      </w:pPr>
      <w:r>
        <w:rPr>
          <w:color w:val="000000"/>
        </w:rPr>
        <w:t xml:space="preserve">1.2  How it is built and scoped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color w:val="000000"/>
        </w:rPr>
        <w:t xml:space="preserve">Identify, from the normalized corpus, which document(s) genuinely serve as the query's primary source.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color w:val="000000"/>
        </w:rPr>
        <w:t xml:space="preserve">Judge relevance at the CONTENT/fact level — not whether a document is titled after the topic. (A Roe v. Wade question is in-scope because the corpus states the holding and the Dobbs reversal, though no document is titled “Roe v. Wade.”)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color w:val="000000"/>
        </w:rPr>
        <w:t xml:space="preserve">Keep everything scoped to the 40 pilot queries; no whole-corpus sweep.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color w:val="000000"/>
        </w:rPr>
        <w:t xml:space="preserve">Record confidence and mark high-stakes items.</w:t>
      </w:r>
    </w:p>
    <w:p>
      <w:pPr>
        <w:pStyle w:val="Heading2"/>
      </w:pPr>
      <w:r>
        <w:rPr>
          <w:color w:val="000000"/>
        </w:rPr>
        <w:t xml:space="preserve">1.3 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Query (qid)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Gold primary source(s)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“Right to be forgotten” (A3)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CA242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clear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“Roe v. Wade holding” (E28)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CA189, CA112, CE007, CC022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in-scope; holding + Dobbs reversal in corpus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“Death penalty / Echegaray” (X33)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BA037, CA371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high-stakes: CJP DISSENTED; abolished 2006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“Weather today?” (X35)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(out-of-scope)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behaviour = graceful decline</w:t>
            </w:r>
          </w:p>
        </w:tc>
      </w:tr>
    </w:tbl>
    <w:p>
      <w:pPr>
        <w:spacing w:after="100" w:line="264"/>
      </w:pPr>
      <w:r>
        <w:rPr>
          <w:b/>
          <w:bCs/>
          <w:color w:val="000000"/>
        </w:rPr>
        <w:t xml:space="preserve">Status. </w:t>
      </w:r>
      <w:r>
        <w:rPr>
          <w:color w:val="000000"/>
        </w:rPr>
        <w:t xml:space="preserve">The gold set is provisional and requires subject-matter-expert (SME) confirmation before scores are published, because every judge and retrieval number is measured against it.</w:t>
      </w:r>
    </w:p>
    <w:p>
      <w:pPr>
        <w:pStyle w:val="Heading1"/>
      </w:pPr>
      <w:r>
        <w:rPr>
          <w:color w:val="000000"/>
        </w:rPr>
        <w:t xml:space="preserve">2.  Latency and performance (automatic)</w:t>
      </w:r>
    </w:p>
    <w:p>
      <w:pPr>
        <w:pStyle w:val="Heading2"/>
      </w:pPr>
      <w:r>
        <w:rPr>
          <w:color w:val="000000"/>
        </w:rPr>
        <w:t xml:space="preserve">2.1  Percentile latency (p50 / p95)</w:t>
      </w:r>
    </w:p>
    <w:p>
      <w:pPr>
        <w:spacing w:after="100" w:line="264"/>
      </w:pPr>
      <w:r>
        <w:rPr>
          <w:b/>
          <w:bCs/>
          <w:color w:val="000000"/>
        </w:rPr>
        <w:t xml:space="preserve">What it measures  </w:t>
      </w:r>
      <w:r>
        <w:rPr>
          <w:color w:val="000000"/>
        </w:rPr>
        <w:t xml:space="preserve">How fast the system responds; p95 is emphasized because tail latency, not the average, governs perceived responsiveness [13].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p95 = value below which 95% of measured latencies fall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color w:val="000000"/>
        </w:rPr>
        <w:t xml:space="preserve">Record end-to-end time (end of user speech → first audio out) per query.</w:t>
      </w:r>
    </w:p>
    <w:p>
      <w:pPr>
        <w:pStyle w:val="ListParagraph"/>
        <w:numPr>
          <w:ilvl w:val="0"/>
          <w:numId w:val="4"/>
        </w:numPr>
        <w:spacing w:after="50" w:line="252"/>
      </w:pPr>
      <w:r>
        <w:rPr>
          <w:color w:val="000000"/>
        </w:rPr>
        <w:t xml:space="preserve">Exclude cold-start; report the 50th and 95th percentiles.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p50 ≤ 2 s, p95 ≤ 4 s.</w:t>
      </w:r>
    </w:p>
    <w:p>
      <w:pPr>
        <w:pStyle w:val="Heading2"/>
      </w:pPr>
      <w:r>
        <w:rPr>
          <w:color w:val="000000"/>
        </w:rPr>
        <w:t xml:space="preserve">2.2  TTFT and real-time factor (RTF)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TTFT = t(first word) − t(query end)      RTF = synthesis_time ÷ audio_length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TTFT p95 ≤ 1.5 s; RTF ≤ 0.5.</w:t>
      </w:r>
    </w:p>
    <w:p>
      <w:pPr>
        <w:pStyle w:val="Heading1"/>
      </w:pPr>
      <w:r>
        <w:rPr>
          <w:color w:val="000000"/>
        </w:rPr>
        <w:t xml:space="preserve">3.  Speech-to-text (automatic, needs audio)</w:t>
      </w:r>
    </w:p>
    <w:p>
      <w:pPr>
        <w:pStyle w:val="Heading2"/>
      </w:pPr>
      <w:r>
        <w:rPr>
          <w:color w:val="000000"/>
        </w:rPr>
        <w:t xml:space="preserve">3.1  WER and CER</w:t>
      </w:r>
    </w:p>
    <w:p>
      <w:pPr>
        <w:spacing w:after="100" w:line="264"/>
      </w:pPr>
      <w:r>
        <w:rPr>
          <w:b/>
          <w:bCs/>
          <w:color w:val="000000"/>
        </w:rPr>
        <w:t xml:space="preserve">What it measures  </w:t>
      </w:r>
      <w:r>
        <w:rPr>
          <w:color w:val="000000"/>
        </w:rPr>
        <w:t xml:space="preserve">How accurately spoken input is transcribed [5].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WER = (S + D + I) ÷ N</w:t>
      </w:r>
    </w:p>
    <w:p>
      <w:pPr>
        <w:spacing w:after="100" w:line="264"/>
      </w:pPr>
      <w:r>
        <w:rPr>
          <w:b/>
          <w:bCs/>
          <w:color w:val="000000"/>
        </w:rPr>
        <w:t xml:space="preserve">Terms  </w:t>
      </w:r>
      <w:r>
        <w:rPr>
          <w:color w:val="000000"/>
        </w:rPr>
        <w:t xml:space="preserve">S/D/I = substituted/deleted/inserted words vs a human reference of N words; CER is the same over characters.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WER ≤ 15% (English), ≤ 25% (Taglish); CER ≤ 8%.  [5]</w:t>
      </w:r>
    </w:p>
    <w:p>
      <w:pPr>
        <w:pStyle w:val="Heading1"/>
      </w:pPr>
      <w:r>
        <w:rPr>
          <w:color w:val="000000"/>
        </w:rPr>
        <w:t xml:space="preserve">4.  Scope and topic classification</w:t>
      </w:r>
    </w:p>
    <w:p>
      <w:pPr>
        <w:pStyle w:val="Heading2"/>
      </w:pPr>
      <w:r>
        <w:rPr>
          <w:color w:val="000000"/>
        </w:rPr>
        <w:t xml:space="preserve">4.1  Precision, Recall, F1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Precision = TP ÷ (TP + FP)     Recall = TP ÷ (TP + FN)     F1 = 2·P·R ÷ (P + R)</w:t>
      </w:r>
    </w:p>
    <w:p>
      <w:pPr>
        <w:spacing w:after="100" w:line="264"/>
      </w:pPr>
      <w:r>
        <w:rPr>
          <w:b/>
          <w:bCs/>
          <w:color w:val="000000"/>
        </w:rPr>
        <w:t xml:space="preserve">Terms  </w:t>
      </w:r>
      <w:r>
        <w:rPr>
          <w:color w:val="000000"/>
        </w:rPr>
        <w:t xml:space="preserve">TP = correctly flagged in-scope; FP = OOS wrongly flagged in-scope; FN = in-scope wrongly rejected. [1]</w:t>
      </w:r>
    </w:p>
    <w:p>
      <w:pPr>
        <w:pStyle w:val="Heading2"/>
      </w:pPr>
      <w:r>
        <w:rPr>
          <w:color w:val="000000"/>
        </w:rPr>
        <w:t xml:space="preserve">4.2  Macro-F1 and AUROC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macro-F1 = (1 ÷ C) · Σ F1(theme c);   AUROC = area under TPR-vs-FPR curve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Scope F1 ≥ 0.90; macro-F1 ≥ 0.85; AUROC ≥ 0.85.  [1,4]</w:t>
      </w:r>
    </w:p>
    <w:p>
      <w:pPr>
        <w:pStyle w:val="Heading1"/>
      </w:pPr>
      <w:r>
        <w:rPr>
          <w:color w:val="000000"/>
        </w:rPr>
        <w:t xml:space="preserve">5.  Retrieval and grounding</w:t>
      </w:r>
    </w:p>
    <w:p>
      <w:pPr>
        <w:pStyle w:val="Heading2"/>
      </w:pPr>
      <w:r>
        <w:rPr>
          <w:color w:val="000000"/>
        </w:rPr>
        <w:t xml:space="preserve">5.1  hit@k (and Recall@k)</w:t>
      </w:r>
    </w:p>
    <w:p>
      <w:pPr>
        <w:spacing w:after="100" w:line="264"/>
      </w:pPr>
      <w:r>
        <w:rPr>
          <w:b/>
          <w:bCs/>
          <w:color w:val="000000"/>
        </w:rPr>
        <w:t xml:space="preserve">What it measures  </w:t>
      </w:r>
      <w:r>
        <w:rPr>
          <w:color w:val="000000"/>
        </w:rPr>
        <w:t xml:space="preserve">Whether a correct source is in the top-k. With a small acceptable-source gold, the operational metric is hit@k: a hit if ANY acceptable source is in the top-k [1].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hit@k = 1 if (Gold ∩ Retrieved_k) ≠ ∅, else 0</w:t>
      </w:r>
    </w:p>
    <w:p>
      <w:pPr>
        <w:pStyle w:val="ListParagraph"/>
        <w:numPr>
          <w:ilvl w:val="0"/>
          <w:numId w:val="5"/>
        </w:numPr>
        <w:spacing w:after="50" w:line="252"/>
      </w:pPr>
      <w:r>
        <w:rPr>
          <w:color w:val="000000"/>
        </w:rPr>
        <w:t xml:space="preserve">Take the acceptable primary source(s) (Gold) and the top-k retrieved (Retrieved_k).</w:t>
      </w:r>
    </w:p>
    <w:p>
      <w:pPr>
        <w:pStyle w:val="ListParagraph"/>
        <w:numPr>
          <w:ilvl w:val="0"/>
          <w:numId w:val="5"/>
        </w:numPr>
        <w:spacing w:after="50" w:line="252"/>
      </w:pPr>
      <w:r>
        <w:rPr>
          <w:color w:val="000000"/>
        </w:rPr>
        <w:t xml:space="preserve">Score a hit if any gold source is present; average over in-scope queries (exclude meta / OOS / gap).</w:t>
      </w:r>
    </w:p>
    <w:p>
      <w:pPr>
        <w:pStyle w:val="Heading2"/>
      </w:pPr>
      <w:r>
        <w:rPr>
          <w:color w:val="000000"/>
        </w:rPr>
        <w:t xml:space="preserve">5.2  MRR and nDCG@k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MRR = (1 ÷ |Q|) · Σ (1 ÷ rank_i)      nDCG@k = DCG@k ÷ IDCG@k,  DCG@k = Σ rel_i ÷ log2(i+1)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hit@5 ≥ 0.90; MRR ≥ 0.80; nDCG@10 ≥ 0.80.  [2,3]</w:t>
      </w:r>
    </w:p>
    <w:p>
      <w:pPr>
        <w:pStyle w:val="Heading2"/>
      </w:pPr>
      <w:r>
        <w:rPr>
          <w:color w:val="000000"/>
        </w:rPr>
        <w:t xml:space="preserve">5.3  Faithfulness / groundedness (LLM-as-judge)</w:t>
      </w:r>
    </w:p>
    <w:p>
      <w:pPr>
        <w:spacing w:after="100" w:line="264"/>
      </w:pPr>
      <w:r>
        <w:rPr>
          <w:b/>
          <w:bCs/>
          <w:color w:val="000000"/>
        </w:rPr>
        <w:t xml:space="preserve">What it measures  </w:t>
      </w:r>
      <w:r>
        <w:rPr>
          <w:color w:val="000000"/>
        </w:rPr>
        <w:t xml:space="preserve">The fraction of the answer's claims supported by the gold grounding — the core anti-hallucination metric for retrieval-augmented systems [16,17,18].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Faithfulness = supported_claims ÷ total_claims</w:t>
      </w:r>
    </w:p>
    <w:p>
      <w:pPr>
        <w:pStyle w:val="ListParagraph"/>
        <w:numPr>
          <w:ilvl w:val="0"/>
          <w:numId w:val="6"/>
        </w:numPr>
        <w:spacing w:after="50" w:line="252"/>
      </w:pPr>
      <w:r>
        <w:rPr>
          <w:color w:val="000000"/>
        </w:rPr>
        <w:t xml:space="preserve">The judge decomposes the answer into individual factual claims.</w:t>
      </w:r>
    </w:p>
    <w:p>
      <w:pPr>
        <w:pStyle w:val="ListParagraph"/>
        <w:numPr>
          <w:ilvl w:val="0"/>
          <w:numId w:val="6"/>
        </w:numPr>
        <w:spacing w:after="50" w:line="252"/>
      </w:pPr>
      <w:r>
        <w:rPr>
          <w:color w:val="000000"/>
        </w:rPr>
        <w:t xml:space="preserve">For each claim it checks whether the gold grounding entails it; faithfulness = supported ÷ total [18]. Judge-based faithfulness scoring is itself benchmarked against human annotation [22,23].</w:t>
      </w:r>
    </w:p>
    <w:p>
      <w:pPr>
        <w:pStyle w:val="Heading2"/>
      </w:pPr>
      <w:r>
        <w:rPr>
          <w:color w:val="000000"/>
        </w:rPr>
        <w:t xml:space="preserve">5.4  Hallucination rate and citation accuracy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Hallucination rate = responses_with_unsupported_claim ÷ responses;   Citation accuracy = correct_citations ÷ total_citations</w:t>
      </w:r>
    </w:p>
    <w:p>
      <w:pPr>
        <w:spacing w:after="100" w:line="264"/>
      </w:pPr>
      <w:r>
        <w:rPr>
          <w:b/>
          <w:bCs/>
          <w:color w:val="000000"/>
        </w:rPr>
        <w:t xml:space="preserve">High-stakes  </w:t>
      </w:r>
      <w:r>
        <w:rPr>
          <w:color w:val="000000"/>
        </w:rPr>
        <w:t xml:space="preserve">Reported separately on rulings, votes, dates, quotes — target 0%; a single inverted fact counts as a hallucination [19]. Citation accuracy follows the RAG-evaluation criteria [18].</w:t>
      </w:r>
    </w:p>
    <w:p>
      <w:pPr>
        <w:pStyle w:val="Heading1"/>
      </w:pPr>
      <w:r>
        <w:rPr>
          <w:color w:val="000000"/>
        </w:rPr>
        <w:t xml:space="preserve">6.  Response quality and persona fidelity</w:t>
      </w:r>
    </w:p>
    <w:p>
      <w:pPr>
        <w:pStyle w:val="Heading2"/>
      </w:pPr>
      <w:r>
        <w:rPr>
          <w:color w:val="000000"/>
        </w:rPr>
        <w:t xml:space="preserve">6.1  Factual accuracy and answer relevancy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Factual accuracy = correct_answers ÷ total_answers</w:t>
      </w:r>
    </w:p>
    <w:p>
      <w:pPr>
        <w:spacing w:after="100" w:line="264"/>
      </w:pPr>
      <w:r>
        <w:rPr>
          <w:b/>
          <w:bCs/>
          <w:color w:val="000000"/>
        </w:rPr>
        <w:t xml:space="preserve">Process  </w:t>
      </w:r>
      <w:r>
        <w:rPr>
          <w:color w:val="000000"/>
        </w:rPr>
        <w:t xml:space="preserve">Judged against the gold grounding [20]; relevancy rated 1–5 or approximated by question–answer embedding cosine [18].</w:t>
      </w:r>
    </w:p>
    <w:p>
      <w:pPr>
        <w:pStyle w:val="Heading2"/>
      </w:pPr>
      <w:r>
        <w:rPr>
          <w:color w:val="000000"/>
        </w:rPr>
        <w:t xml:space="preserve">6.2  Persona / style similarity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cosine(a, b) = (a · b) ÷ (||a|| · ||b||)</w:t>
      </w:r>
    </w:p>
    <w:p>
      <w:pPr>
        <w:spacing w:after="100" w:line="264"/>
      </w:pPr>
      <w:r>
        <w:rPr>
          <w:b/>
          <w:bCs/>
          <w:color w:val="000000"/>
        </w:rPr>
        <w:t xml:space="preserve">Process  </w:t>
      </w:r>
      <w:r>
        <w:rPr>
          <w:color w:val="000000"/>
        </w:rPr>
        <w:t xml:space="preserve">Cosine between the answer embedding and the CJP-corpus centroid [9].</w:t>
      </w:r>
    </w:p>
    <w:p>
      <w:pPr>
        <w:pStyle w:val="Heading2"/>
      </w:pPr>
      <w:r>
        <w:rPr>
          <w:color w:val="000000"/>
        </w:rPr>
        <w:t xml:space="preserve">6.3  BERTScore-F1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Match each answer token to its most-similar reference token by cosine; BERTScore-F1 = 2·P·R ÷ (P + R)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Factual accuracy ≥ 95%; relevancy ≥ 4/5; persona ≥ 0.75; BERTScore-F1 ≥ 0.70.  [8] (BLEU/ROUGE [6,7] are secondary surface measures.)</w:t>
      </w:r>
    </w:p>
    <w:p>
      <w:pPr>
        <w:pStyle w:val="Heading1"/>
      </w:pPr>
      <w:r>
        <w:rPr>
          <w:color w:val="000000"/>
        </w:rPr>
        <w:t xml:space="preserve">7.  Voice output (needs synthesized audio)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MOS = (1 ÷ L) · Σ listener_rating (1–5);   speaker similarity = cosine(embed_synth, embed_real)</w:t>
      </w:r>
    </w:p>
    <w:p>
      <w:pPr>
        <w:spacing w:after="100" w:line="264"/>
      </w:pPr>
      <w:r>
        <w:rPr>
          <w:b/>
          <w:bCs/>
          <w:color w:val="000000"/>
        </w:rPr>
        <w:t xml:space="preserve">Process  </w:t>
      </w:r>
      <w:r>
        <w:rPr>
          <w:color w:val="000000"/>
        </w:rPr>
        <w:t xml:space="preserve">MOS = mean naturalness rating from ≥ 5 listeners [10]; neural MOS predictors (e.g., UTMOS) give an automatic proxy [11]; speaker similarity = cosine of speaker embeddings from synthesized vs authentic CJP audio [12]. Targets: MOS ≥ 4.0; speaker similarity ≥ 0.75.</w:t>
      </w:r>
    </w:p>
    <w:p>
      <w:pPr>
        <w:pStyle w:val="Heading1"/>
      </w:pPr>
      <w:r>
        <w:rPr>
          <w:color w:val="000000"/>
        </w:rPr>
        <w:t xml:space="preserve">8.  Robustness, safety, reliability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OOS decline rate = gracefully_declined ÷ out_of_scope_questions;   turn error rate = errors ÷ (turns ÷ 100)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OOS decline ≥ 95%, adversarial robustness ≥ 90%, uptime ≥ 99%, errors ≤ 1 per 100 turns.</w:t>
      </w:r>
    </w:p>
    <w:p>
      <w:pPr>
        <w:pStyle w:val="Heading1"/>
      </w:pPr>
      <w:r>
        <w:rPr>
          <w:color w:val="000000"/>
        </w:rPr>
        <w:t xml:space="preserve">9.  Visitor / product (live sessions)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task success = satisfied_sessions ÷ sessions;   CSAT = thumbs_up ÷ rated_sessions</w:t>
      </w:r>
    </w:p>
    <w:p>
      <w:pPr>
        <w:spacing w:after="100" w:line="264"/>
      </w:pPr>
      <w:r>
        <w:rPr>
          <w:b/>
          <w:bCs/>
          <w:color w:val="000000"/>
        </w:rPr>
        <w:t xml:space="preserve">Target  </w:t>
      </w:r>
      <w:r>
        <w:rPr>
          <w:color w:val="000000"/>
        </w:rPr>
        <w:t xml:space="preserve">success ≥ 85%, containment ≥ 90%, CSAT ≥ 80%.</w:t>
      </w:r>
    </w:p>
    <w:p>
      <w:pPr>
        <w:pStyle w:val="Heading1"/>
      </w:pPr>
      <w:r>
        <w:rPr>
          <w:color w:val="000000"/>
        </w:rPr>
        <w:t xml:space="preserve">10.  Trusting the numbers: agreement and confidence</w:t>
      </w:r>
    </w:p>
    <w:p>
      <w:pPr>
        <w:shd w:fill="F2F5FA" w:val="clear"/>
        <w:spacing w:after="120" w:before="40"/>
        <w:jc w:val="center"/>
      </w:pPr>
      <w:r>
        <w:rPr>
          <w:rFonts w:ascii="Consolas" w:cs="Consolas" w:eastAsia="Consolas" w:hAnsi="Consolas"/>
          <w:color w:val="000000"/>
          <w:sz w:val="22"/>
          <w:szCs w:val="22"/>
        </w:rPr>
        <w:t xml:space="preserve">κ = (p_o − p_e) ÷ (1 − p_e)</w:t>
      </w:r>
    </w:p>
    <w:p>
      <w:pPr>
        <w:spacing w:after="100" w:line="264"/>
      </w:pPr>
      <w:r>
        <w:rPr>
          <w:b/>
          <w:bCs/>
          <w:color w:val="000000"/>
        </w:rPr>
        <w:t xml:space="preserve">Inter-rater reliability  </w:t>
      </w:r>
      <w:r>
        <w:rPr>
          <w:color w:val="000000"/>
        </w:rPr>
        <w:t xml:space="preserve">Cohen's κ (two raters) [14]; Fleiss' κ (≥ 3 raters) [15]; κ ≥ 0.6 = substantial. LLM judges must be validated against human labels because they carry position, verbosity and self-preference biases [21].</w:t>
      </w:r>
    </w:p>
    <w:p>
      <w:pPr>
        <w:spacing w:after="100" w:line="264"/>
      </w:pPr>
      <w:r>
        <w:rPr>
          <w:b/>
          <w:bCs/>
          <w:color w:val="000000"/>
        </w:rPr>
        <w:t xml:space="preserve">Confidence intervals  </w:t>
      </w:r>
      <w:r>
        <w:rPr>
          <w:color w:val="000000"/>
        </w:rPr>
        <w:t xml:space="preserve">With n = 40, each rate is reported with a bootstrap 95% confidence interval.</w:t>
      </w:r>
    </w:p>
    <w:p>
      <w:pPr>
        <w:pStyle w:val="Heading1"/>
      </w:pPr>
      <w:r>
        <w:rPr>
          <w:color w:val="000000"/>
        </w:rPr>
        <w:t xml:space="preserve">11.  Results — pilot run w2.1 (40 text queries)</w:t>
      </w:r>
    </w:p>
    <w:p>
      <w:pPr>
        <w:spacing w:after="100" w:line="264"/>
      </w:pPr>
      <w:r>
        <w:rPr>
          <w:color w:val="000000"/>
        </w:rPr>
        <w:t xml:space="preserve">Text-in / text-out run: Categories B (STT), F (voice) and H (visitor) are N/A, and the grounding/quality judge pass plus scope F1 are pending. Of 43 metrics: 9 scored (6 pass, 3 fail), 17 N/A, 17 pending.</w:t>
      </w:r>
    </w:p>
    <w:p>
      <w:pPr>
        <w:pStyle w:val="Heading2"/>
      </w:pPr>
      <w:r>
        <w:rPr>
          <w:color w:val="000000"/>
        </w:rPr>
        <w:t xml:space="preserve">11.1  Scored metrics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800"/>
        <w:gridCol w:w="13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latency p50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2 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latency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15.2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4 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Time-to-first-token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3.53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1.5 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 latency p50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86.8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300 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Truncations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/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Degraded 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/ 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 hit@5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0.90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0.80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Retrieval nDCG@10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0.80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Out-of-scope graceful-decline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/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line="264"/>
      </w:pPr>
      <w:r>
        <w:rPr>
          <w:b/>
          <w:bCs/>
          <w:color w:val="000000"/>
        </w:rPr>
        <w:t xml:space="preserve">Retrieval detail  </w:t>
      </w:r>
      <w:r>
        <w:rPr>
          <w:color w:val="000000"/>
        </w:rPr>
        <w:t xml:space="preserve">hit@1 = 0.71, hit@3 = 0.89 (35 in-scope queries). Genuine misses: A4 (judicial activism), B9 (MSMEs / law-and-economics), and the high-stakes X33 (Echegaray).</w:t>
      </w:r>
    </w:p>
    <w:p>
      <w:pPr>
        <w:pStyle w:val="Heading2"/>
      </w:pPr>
      <w:r>
        <w:rPr>
          <w:color w:val="000000"/>
        </w:rPr>
        <w:t xml:space="preserve">11.2  Not scored this run</w:t>
      </w:r>
    </w:p>
    <w:p>
      <w:pPr>
        <w:spacing w:after="100" w:line="264"/>
      </w:pPr>
      <w:r>
        <w:rPr>
          <w:b/>
          <w:bCs/>
          <w:color w:val="000000"/>
        </w:rPr>
        <w:t xml:space="preserve">N/A (17)  </w:t>
      </w:r>
      <w:r>
        <w:rPr>
          <w:color w:val="000000"/>
        </w:rPr>
        <w:t xml:space="preserve">WER/CER + wake-word (B), TTS speaker-similarity/MOS/pronunciation/intelligibility (F), visitor task-success/containment/turns/CSAT (H), STT &amp; TTS latency, max concurrency, precision@5.</w:t>
      </w:r>
    </w:p>
    <w:p>
      <w:pPr>
        <w:spacing w:after="100" w:line="264"/>
      </w:pPr>
      <w:r>
        <w:rPr>
          <w:b/>
          <w:bCs/>
          <w:color w:val="000000"/>
        </w:rPr>
        <w:t xml:space="preserve">Pending (17)  </w:t>
      </w:r>
      <w:r>
        <w:rPr>
          <w:color w:val="000000"/>
        </w:rPr>
        <w:t xml:space="preserve">Faithfulness, hallucination (overall + high-stakes), citation, factual accuracy, relevancy, persona similarity, BERTScore, scope F1/macro-F1/AUROC, adversarial robustness, availability — need the LLM-judge pass or gold-label scope scoring.</w:t>
      </w:r>
    </w:p>
    <w:p>
      <w:pPr>
        <w:spacing w:after="100" w:line="264"/>
      </w:pPr>
      <w:r>
        <w:rPr>
          <w:b/>
          <w:bCs/>
          <w:color w:val="000000"/>
        </w:rPr>
        <w:t xml:space="preserve">Grounding note  </w:t>
      </w:r>
      <w:r>
        <w:rPr>
          <w:color w:val="000000"/>
        </w:rPr>
        <w:t xml:space="preserve">E28 (Roe v. Wade) is in-scope and grounded; X39 (a personal-trip anecdote) remains to be verified.</w:t>
      </w:r>
    </w:p>
    <w:p>
      <w:pPr>
        <w:pStyle w:val="Heading1"/>
      </w:pPr>
      <w:r>
        <w:rPr>
          <w:color w:val="000000"/>
        </w:rPr>
        <w:t xml:space="preserve">12.  Discussion</w:t>
      </w:r>
    </w:p>
    <w:p>
      <w:pPr>
        <w:spacing w:after="100" w:line="264"/>
      </w:pPr>
      <w:r>
        <w:rPr>
          <w:color w:val="000000"/>
        </w:rPr>
        <w:t xml:space="preserve">The pilot separates deployable-quality from not. Reliability and length discipline are clean, and out-of-scope questions were declined rather than answered.</w:t>
      </w:r>
    </w:p>
    <w:p>
      <w:pPr>
        <w:spacing w:after="100" w:line="264"/>
      </w:pPr>
      <w:r>
        <w:rPr>
          <w:b/>
          <w:bCs/>
          <w:color w:val="000000"/>
        </w:rPr>
        <w:t xml:space="preserve">Latency is the clear blocker. </w:t>
      </w:r>
      <w:r>
        <w:rPr>
          <w:color w:val="000000"/>
        </w:rPr>
        <w:t xml:space="preserve">Median ≈ 12 s and p95 ≈ 15 s — roughly 4× the interactive target — with the composer accounting for almost all of it. Streaming, a smaller cap, or a faster model are the levers.</w:t>
      </w:r>
    </w:p>
    <w:p>
      <w:pPr>
        <w:spacing w:after="100" w:line="264"/>
      </w:pPr>
      <w:r>
        <w:rPr>
          <w:b/>
          <w:bCs/>
          <w:color w:val="000000"/>
        </w:rPr>
        <w:t xml:space="preserve">Retrieval meets targets in aggregate but misses where it matters. </w:t>
      </w:r>
      <w:r>
        <w:rPr>
          <w:color w:val="000000"/>
        </w:rPr>
        <w:t xml:space="preserve">hit@5 = 0.91, yet three in-scope sources were not retrieved — most importantly the high-stakes X33 (Echegaray), forcing the composer to answer from parametric memory on precisely the question where a wrong answer is unacceptable.</w:t>
      </w:r>
    </w:p>
    <w:p>
      <w:pPr>
        <w:spacing w:after="100" w:line="264"/>
      </w:pPr>
      <w:r>
        <w:rPr>
          <w:b/>
          <w:bCs/>
          <w:color w:val="000000"/>
        </w:rPr>
        <w:t xml:space="preserve">The truth-metrics are not yet measured. </w:t>
      </w:r>
      <w:r>
        <w:rPr>
          <w:color w:val="000000"/>
        </w:rPr>
        <w:t xml:space="preserve">Faithfulness and high-stakes hallucination require the judge pass; until then the grounding gate is unverified. Grounded factual accuracy — not fluency or speed — is the blocking deployment gate.</w:t>
      </w:r>
    </w:p>
    <w:p>
      <w:pPr>
        <w:spacing w:after="100" w:line="264"/>
      </w:pPr>
      <w:r>
        <w:rPr>
          <w:b/>
          <w:bCs/>
          <w:color w:val="000000"/>
        </w:rPr>
        <w:t xml:space="preserve">Caveats. </w:t>
      </w:r>
      <w:r>
        <w:rPr>
          <w:color w:val="000000"/>
        </w:rPr>
        <w:t xml:space="preserve">The gold set is provisional (an earlier version wrongly flagged the Roe v. Wade answer by judging at the title rather than content level), and n = 40 gives wide confidence intervals; the high-stakes subset should be expanded before the 0% gate is trusted.</w:t>
      </w:r>
    </w:p>
    <w:p>
      <w:pPr>
        <w:pStyle w:val="Heading1"/>
      </w:pPr>
      <w:r>
        <w:rPr>
          <w:color w:val="000000"/>
        </w:rPr>
        <w:t xml:space="preserve">References</w:t>
      </w:r>
    </w:p>
    <w:p>
      <w:pPr>
        <w:spacing w:after="100" w:line="264"/>
      </w:pPr>
      <w:r>
        <w:rPr>
          <w:i/>
          <w:iCs/>
          <w:color w:val="000000"/>
          <w:sz w:val="18"/>
          <w:szCs w:val="18"/>
        </w:rPr>
        <w:t xml:space="preserve">Metric-definition (origin) papers [1–15]; recent LLM-era methods [16–23].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[1]  </w:t>
      </w:r>
      <w:r>
        <w:rPr>
          <w:color w:val="000000"/>
          <w:sz w:val="18"/>
          <w:szCs w:val="18"/>
        </w:rPr>
        <w:t xml:space="preserve">C. D. Manning, P. Raghavan, and H. Schütze, Introduction to Information Retrieval. Cambridge University Press, 2008. — precision, recall, F1, Recall@k / hit@k.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[2]  </w:t>
      </w:r>
      <w:r>
        <w:rPr>
          <w:color w:val="000000"/>
          <w:sz w:val="18"/>
          <w:szCs w:val="18"/>
        </w:rPr>
        <w:t xml:space="preserve">K. Järvelin and J. Kekäläinen, “Cumulated gain-based evaluation of IR techniques,” ACM TOIS, 20(4), 422–446, 2002. — nDCG.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[3]  </w:t>
      </w:r>
      <w:r>
        <w:rPr>
          <w:color w:val="000000"/>
          <w:sz w:val="18"/>
          <w:szCs w:val="18"/>
        </w:rPr>
        <w:t xml:space="preserve">E. M. Voorhees, “The TREC-8 Question Answering Track Report,” TREC-8, 1999. — Mean Reciprocal Rank.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[4]  </w:t>
      </w:r>
      <w:r>
        <w:rPr>
          <w:color w:val="000000"/>
          <w:sz w:val="18"/>
          <w:szCs w:val="18"/>
        </w:rPr>
        <w:t xml:space="preserve">T. Fawcett, “An introduction to ROC analysis,” Pattern Recognition Letters, 27(8), 861–874, 2006. — AUROC.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[5]  </w:t>
      </w:r>
      <w:r>
        <w:rPr>
          <w:color w:val="000000"/>
          <w:sz w:val="18"/>
          <w:szCs w:val="18"/>
        </w:rPr>
        <w:t xml:space="preserve">D. Jurafsky and J. H. Martin, Speech and Language Processing, 3rd ed. (draft), Stanford University. — WER / CER.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[6]  </w:t>
      </w:r>
      <w:r>
        <w:rPr>
          <w:color w:val="000000"/>
          <w:sz w:val="18"/>
          <w:szCs w:val="18"/>
        </w:rPr>
        <w:t xml:space="preserve">K. Papineni, S. Roukos, T. Ward, W.-J. Zhu, “BLEU,” ACL, 2002.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[7]  </w:t>
      </w:r>
      <w:r>
        <w:rPr>
          <w:color w:val="000000"/>
          <w:sz w:val="18"/>
          <w:szCs w:val="18"/>
        </w:rPr>
        <w:t xml:space="preserve">C.-Y. Lin, “ROUGE,” Text Summarization Branches Out, ACL Workshop, 2004.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[8]  </w:t>
      </w:r>
      <w:r>
        <w:rPr>
          <w:color w:val="000000"/>
          <w:sz w:val="18"/>
          <w:szCs w:val="18"/>
        </w:rPr>
        <w:t xml:space="preserve">T. Zhang, V. Kishore, F. Wu, K. Q. Weinberger, Y. Artzi, “BERTScore: Evaluating text generation with BERT,” ICLR, 2020.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[9]  </w:t>
      </w:r>
      <w:r>
        <w:rPr>
          <w:color w:val="000000"/>
          <w:sz w:val="18"/>
          <w:szCs w:val="18"/>
        </w:rPr>
        <w:t xml:space="preserve">N. Reimers and I. Gurevych, “Sentence-BERT,” EMNLP, 2019. — sentence embeddings / cosine similarity.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[10]  </w:t>
      </w:r>
      <w:r>
        <w:rPr>
          <w:color w:val="000000"/>
          <w:sz w:val="18"/>
          <w:szCs w:val="18"/>
        </w:rPr>
        <w:t xml:space="preserve">ITU-T Recommendation P.800, “Methods for subjective determination of transmission quality,” ITU, 1996. — Mean Opinion Score.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[11]  </w:t>
      </w:r>
      <w:r>
        <w:rPr>
          <w:color w:val="000000"/>
          <w:sz w:val="18"/>
          <w:szCs w:val="18"/>
        </w:rPr>
        <w:t xml:space="preserve">T. Saeki et al., “UTMOS: UTokyo-SaruLab System for the VoiceMOS Challenge 2022,” INTERSPEECH, 2022. — neural MOS prediction.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[12]  </w:t>
      </w:r>
      <w:r>
        <w:rPr>
          <w:color w:val="000000"/>
          <w:sz w:val="18"/>
          <w:szCs w:val="18"/>
        </w:rPr>
        <w:t xml:space="preserve">D. Snyder, D. Garcia-Romero, G. Sell, D. Povey, S. Khudanpur, “X-vectors,” ICASSP, 2018. — speaker-embedding similarity.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[13]  </w:t>
      </w:r>
      <w:r>
        <w:rPr>
          <w:color w:val="000000"/>
          <w:sz w:val="18"/>
          <w:szCs w:val="18"/>
        </w:rPr>
        <w:t xml:space="preserve">J. Dean and L. A. Barroso, “The tail at scale,” Communications of the ACM, 56(2), 74–80, 2013. — tail (p95) latency.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[14]  </w:t>
      </w:r>
      <w:r>
        <w:rPr>
          <w:color w:val="000000"/>
          <w:sz w:val="18"/>
          <w:szCs w:val="18"/>
        </w:rPr>
        <w:t xml:space="preserve">J. Cohen, “A coefficient of agreement for nominal scales,” Educational and Psychological Measurement, 20(1), 1960. — Cohen's kappa.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[15]  </w:t>
      </w:r>
      <w:r>
        <w:rPr>
          <w:color w:val="000000"/>
          <w:sz w:val="18"/>
          <w:szCs w:val="18"/>
        </w:rPr>
        <w:t xml:space="preserve">J. L. Fleiss, “Measuring nominal scale agreement among many raters,” Psychological Bulletin, 76(5), 1971. — Fleiss' kappa.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[16]  </w:t>
      </w:r>
      <w:r>
        <w:rPr>
          <w:color w:val="000000"/>
          <w:sz w:val="18"/>
          <w:szCs w:val="18"/>
        </w:rPr>
        <w:t xml:space="preserve">P. Lewis et al., “Retrieval-augmented generation for knowledge-intensive NLP tasks,” NeurIPS, 2020. — RAG.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[17]  </w:t>
      </w:r>
      <w:r>
        <w:rPr>
          <w:color w:val="000000"/>
          <w:sz w:val="18"/>
          <w:szCs w:val="18"/>
        </w:rPr>
        <w:t xml:space="preserve">Y. Gao et al., “Retrieval-Augmented Generation for Large Language Models: A Survey,” arXiv:2312.10997, 2023/2024.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[18]  </w:t>
      </w:r>
      <w:r>
        <w:rPr>
          <w:color w:val="000000"/>
          <w:sz w:val="18"/>
          <w:szCs w:val="18"/>
        </w:rPr>
        <w:t xml:space="preserve">S. Es, J. James, L. Espinosa-Anke, S. Schockaert, “RAGAS: Automated evaluation of retrieval-augmented generation,” arXiv:2309.15217, 2023 (EACL 2024). — faithfulness, answer relevancy, citation.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[19]  </w:t>
      </w:r>
      <w:r>
        <w:rPr>
          <w:color w:val="000000"/>
          <w:sz w:val="18"/>
          <w:szCs w:val="18"/>
        </w:rPr>
        <w:t xml:space="preserve">L. Huang et al., “A Survey on Hallucination in Large Language Models: Principles, Taxonomy, Challenges, and Open Questions,” ACM Transactions on Information Systems, 43(2), 2025.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[20]  </w:t>
      </w:r>
      <w:r>
        <w:rPr>
          <w:color w:val="000000"/>
          <w:sz w:val="18"/>
          <w:szCs w:val="18"/>
        </w:rPr>
        <w:t xml:space="preserve">L. Zheng et al., “Judging LLM-as-a-judge with MT-Bench and Chatbot Arena,” NeurIPS, 2023. — LLM-as-judge.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[21]  </w:t>
      </w:r>
      <w:r>
        <w:rPr>
          <w:color w:val="000000"/>
          <w:sz w:val="18"/>
          <w:szCs w:val="18"/>
        </w:rPr>
        <w:t xml:space="preserve">J. Gu et al., “A Survey on LLM-as-a-Judge,” arXiv:2411.15594, 2024/2025. — biases, reliability, protocols.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[22]  </w:t>
      </w:r>
      <w:r>
        <w:rPr>
          <w:color w:val="000000"/>
          <w:sz w:val="18"/>
          <w:szCs w:val="18"/>
        </w:rPr>
        <w:t xml:space="preserve">N. Thakur et al., “Support Evaluation for the TREC 2024 RAG Track: Comparing Human versus LLM Judges,” arXiv:2504.15205, 2025.</w:t>
      </w:r>
    </w:p>
    <w:p>
      <w:pPr>
        <w:spacing w:after="60" w:line="248"/>
        <w:ind w:left="360" w:hanging="360"/>
      </w:pPr>
      <w:r>
        <w:rPr>
          <w:color w:val="000000"/>
          <w:sz w:val="18"/>
          <w:szCs w:val="18"/>
        </w:rPr>
        <w:t xml:space="preserve">[23]  </w:t>
      </w:r>
      <w:r>
        <w:rPr>
          <w:color w:val="000000"/>
          <w:sz w:val="18"/>
          <w:szCs w:val="18"/>
        </w:rPr>
        <w:t xml:space="preserve">Vectara, “Benchmarking LLM Faithfulness in RAG with Evolving Leaderboards (FaithJudge),” arXiv:2505.04847, 2025.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2026-07-02T10:11:24.555Z</dcterms:created>
  <dcterms:modified xsi:type="dcterms:W3CDTF">2026-07-02T10:11:24.556Z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