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W1.10 — Week-1 Lock Decisions Memo</w:t>
      </w:r>
    </w:p>
    <w:p>
      <w:r>
        <w:rPr>
          <w:b/>
          <w:i w:val="0"/>
        </w:rPr>
        <w:t>Project: CJP AI Persona (retired Chief Justice Artemio V. Panganiban) · &lt;100-doc pilot</w:t>
      </w:r>
    </w:p>
    <w:p>
      <w:r>
        <w:rPr>
          <w:b w:val="0"/>
          <w:i w:val="0"/>
        </w:rPr>
        <w:t>Date: 2026-06-30 · Status: for sign-off (Pao / Dev0 / Sheena)</w:t>
      </w:r>
    </w:p>
    <w:p>
      <w:r>
        <w:rPr>
          <w:b w:val="0"/>
          <w:i w:val="0"/>
        </w:rPr>
        <w:t>Basis: locked config.py, W1.7 centroid meta, W1.9 warmed latency baseline (baseline.json / baseline.jsonl)</w:t>
      </w:r>
    </w:p>
    <w:p>
      <w:r>
        <w:rPr>
          <w:b w:val="0"/>
          <w:i/>
        </w:rPr>
        <w:t>This memo locks the Week-1 architecture decisions and records provisional pilot targets anchored to the W1.9 baseline. All figures below trace to baseline.json/baseline.jsonl or config.py; nothing is invented. Quality targets are marked TBD pending the eval harness (W3.x).</w:t>
      </w:r>
    </w:p>
    <w:p>
      <w:pPr>
        <w:pStyle w:val="Heading1"/>
      </w:pPr>
      <w:r>
        <w:t>Decisions (one per row)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Rationale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Embedding model — bge-large-en-v1.5, local, resident, 1024-dim (DEFAULT)</w:t>
            </w:r>
          </w:p>
        </w:tc>
        <w:tc>
          <w:tcPr>
            <w:tcW w:type="dxa" w:w="1728"/>
          </w:tcPr>
          <w:p>
            <w:r/>
            <w:r>
              <w:t>Quality over MiniLM; avoids the network/cost/data-governance hit of hosted OpenAI for a legal corpus (data stays on-prem). MiniLM and OpenAI text-embedding-3 are W3.4 bake-off alternatives; final call from recall@k.</w:t>
            </w:r>
          </w:p>
        </w:tc>
        <w:tc>
          <w:tcPr>
            <w:tcW w:type="dxa" w:w="1728"/>
          </w:tcPr>
          <w:p>
            <w:r/>
            <w:r>
              <w:t>Pao / Dev0</w:t>
            </w:r>
          </w:p>
        </w:tc>
        <w:tc>
          <w:tcPr>
            <w:tcW w:type="dxa" w:w="1728"/>
          </w:tcPr>
          <w:p>
            <w:r/>
            <w:r>
              <w:t>LOCKED (default; bake-off W3.4)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Retrieval — in-memory numpy dense + BM25 sparse + curated atomic-phrase dictionary, RRF-fused</w:t>
            </w:r>
          </w:p>
        </w:tc>
        <w:tc>
          <w:tcPr>
            <w:tcW w:type="dxa" w:w="1728"/>
          </w:tcPr>
          <w:p>
            <w:r/>
            <w:r>
              <w:t>BM25 non-negotiable for exact legal identifiers (case names, statutes) no embedding reliably handles; RRF fuses the two arms over one aligned universe.</w:t>
            </w:r>
          </w:p>
        </w:tc>
        <w:tc>
          <w:tcPr>
            <w:tcW w:type="dxa" w:w="1728"/>
          </w:tcPr>
          <w:p>
            <w:r/>
            <w:r>
              <w:t>Pao</w:t>
            </w:r>
          </w:p>
        </w:tc>
        <w:tc>
          <w:tcPr>
            <w:tcW w:type="dxa" w:w="1728"/>
          </w:tcPr>
          <w:p>
            <w:r/>
            <w:r>
              <w:t>LOCKED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Topic model — 34-topic curated taxonomy as centroid dimensions; SOFT-PRIOR bias, not hard gating</w:t>
            </w:r>
          </w:p>
        </w:tc>
        <w:tc>
          <w:tcPr>
            <w:tcW w:type="dxa" w:w="1728"/>
          </w:tcPr>
          <w:p>
            <w:r/>
            <w:r>
              <w:t>Interpretable dimensions; bge cosine compression made the old 0.85 bar meaningless. Thresholds locked W1.7: TOPIC_MERGE_COSINE=0.95, TOPIC_ASSIGN_MIN_COSINE=0.68 (chunk-level; 35-&gt;34 after one merge).</w:t>
            </w:r>
          </w:p>
        </w:tc>
        <w:tc>
          <w:tcPr>
            <w:tcW w:type="dxa" w:w="1728"/>
          </w:tcPr>
          <w:p>
            <w:r/>
            <w:r>
              <w:t>Dev0 / Sheena</w:t>
            </w:r>
          </w:p>
        </w:tc>
        <w:tc>
          <w:tcPr>
            <w:tcW w:type="dxa" w:w="1728"/>
          </w:tcPr>
          <w:p>
            <w:r/>
            <w:r>
              <w:t>LOCKED (W1.7)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Routing — deterministic code router; Haiku removed</w:t>
            </w:r>
          </w:p>
        </w:tc>
        <w:tc>
          <w:tcPr>
            <w:tcW w:type="dxa" w:w="1728"/>
          </w:tcPr>
          <w:p>
            <w:r/>
            <w:r>
              <w:t>Zero pre-composition LLM round-trips — verified: llm_calls_before_composition == 0 across all 10 W1.9 queries. Removes a latency/cost/failure surface from the hot path.</w:t>
            </w:r>
          </w:p>
        </w:tc>
        <w:tc>
          <w:tcPr>
            <w:tcW w:type="dxa" w:w="1728"/>
          </w:tcPr>
          <w:p>
            <w:r/>
            <w:r>
              <w:t>Pao</w:t>
            </w:r>
          </w:p>
        </w:tc>
        <w:tc>
          <w:tcPr>
            <w:tcW w:type="dxa" w:w="1728"/>
          </w:tcPr>
          <w:p>
            <w:r/>
            <w:r>
              <w:t>LOCKED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Composition — Sonnet (claude-sonnet-4-6), streamed prose + trailing ENVELOPE</w:t>
            </w:r>
          </w:p>
        </w:tc>
        <w:tc>
          <w:tcPr>
            <w:tcW w:type="dxa" w:w="1728"/>
          </w:tcPr>
          <w:p>
            <w:r/>
            <w:r>
              <w:t>Composition quality matters most; streaming hides generation latency behind TTFT. MAX_TOKENS=300 cap + Voice Card length discipline control output cost. (Streamed envelope composer built in W2.1.)</w:t>
            </w:r>
          </w:p>
        </w:tc>
        <w:tc>
          <w:tcPr>
            <w:tcW w:type="dxa" w:w="1728"/>
          </w:tcPr>
          <w:p>
            <w:r/>
            <w:r>
              <w:t>Pao</w:t>
            </w:r>
          </w:p>
        </w:tc>
        <w:tc>
          <w:tcPr>
            <w:tcW w:type="dxa" w:w="1728"/>
          </w:tcPr>
          <w:p>
            <w:r/>
            <w:r>
              <w:t>LOCKED (model); W2.1 builds envelope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Theme-as-control-signal — topics bias retrieval, never gate</w:t>
            </w:r>
          </w:p>
        </w:tc>
        <w:tc>
          <w:tcPr>
            <w:tcW w:type="dxa" w:w="1728"/>
          </w:tcPr>
          <w:p>
            <w:r/>
            <w:r>
              <w:t>A routing error must not hide the right passage. Topics drive register/disclaimer + a soft prior; a weak/out-of-scope prior falls through to global retrieval within the universe (orphaned-content guard).</w:t>
            </w:r>
          </w:p>
        </w:tc>
        <w:tc>
          <w:tcPr>
            <w:tcW w:type="dxa" w:w="1728"/>
          </w:tcPr>
          <w:p>
            <w:r/>
            <w:r>
              <w:t>Pao</w:t>
            </w:r>
          </w:p>
        </w:tc>
        <w:tc>
          <w:tcPr>
            <w:tcW w:type="dxa" w:w="1728"/>
          </w:tcPr>
          <w:p>
            <w:r/>
            <w:r>
              <w:t>LOCKED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Deployment — robot = front-end I/O only; off-board Service holds resident model + indexes + makes the API call</w:t>
            </w:r>
          </w:p>
        </w:tc>
        <w:tc>
          <w:tcPr>
            <w:tcW w:type="dxa" w:w="1728"/>
          </w:tcPr>
          <w:p>
            <w:r/>
            <w:r>
              <w:t>Reachy Mini (CM4) lacks resources for a resident 1024-dim model + indexes; Service host owns embeddings, retrieval, and the native_sdk API call on a clean-TLS host.</w:t>
            </w:r>
          </w:p>
        </w:tc>
        <w:tc>
          <w:tcPr>
            <w:tcW w:type="dxa" w:w="1728"/>
          </w:tcPr>
          <w:p>
            <w:r/>
            <w:r>
              <w:t>Dev0</w:t>
            </w:r>
          </w:p>
        </w:tc>
        <w:tc>
          <w:tcPr>
            <w:tcW w:type="dxa" w:w="1728"/>
          </w:tcPr>
          <w:p>
            <w:r/>
            <w:r>
              <w:t>LOCKED (intent); host provisioning ongoing</w:t>
            </w:r>
          </w:p>
        </w:tc>
      </w:tr>
    </w:tbl>
    <w:p>
      <w:pPr>
        <w:pStyle w:val="Heading1"/>
      </w:pPr>
      <w:r>
        <w:t>Pilot targets (provisional, anchored to W1.9)</w:t>
      </w:r>
    </w:p>
    <w:p>
      <w:r>
        <w:rPr>
          <w:b w:val="0"/>
          <w:i w:val="0"/>
        </w:rPr>
        <w:t>Source: baseline.json — single warmed run, n=10, transport=native_sdk, embed_device=cuda, composer_model=claude-sonnet-4-6. Entered into the Pilot Metrics sheet (CJP_Pilot_Weekly_Plan_v2.xlsx).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Baseline (W1.9, measured)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Provisional target</w:t>
            </w:r>
          </w:p>
        </w:tc>
      </w:tr>
      <w:tr>
        <w:tc>
          <w:tcPr>
            <w:tcW w:type="dxa" w:w="2880"/>
          </w:tcPr>
          <w:p>
            <w:r/>
            <w:r>
              <w:t>TTFT (composer-start -&gt; first chunk)</w:t>
            </w:r>
          </w:p>
        </w:tc>
        <w:tc>
          <w:tcPr>
            <w:tcW w:type="dxa" w:w="2880"/>
          </w:tcPr>
          <w:p>
            <w:r/>
            <w:r>
              <w:t>p50 1207 ms / p95 2087 ms</w:t>
            </w:r>
          </w:p>
        </w:tc>
        <w:tc>
          <w:tcPr>
            <w:tcW w:type="dxa" w:w="2880"/>
          </w:tcPr>
          <w:p>
            <w:r/>
            <w:r>
              <w:t>~1.2s p50 / ~2.1s p95</w:t>
            </w:r>
          </w:p>
        </w:tc>
      </w:tr>
      <w:tr>
        <w:tc>
          <w:tcPr>
            <w:tcW w:type="dxa" w:w="2880"/>
          </w:tcPr>
          <w:p>
            <w:r/>
            <w:r>
              <w:t>Total e2e</w:t>
            </w:r>
          </w:p>
        </w:tc>
        <w:tc>
          <w:tcPr>
            <w:tcW w:type="dxa" w:w="2880"/>
          </w:tcPr>
          <w:p>
            <w:r/>
            <w:r>
              <w:t>p50 8044.8 ms (8.0s) / p95 8928.2 ms (8.9s)</w:t>
            </w:r>
          </w:p>
        </w:tc>
        <w:tc>
          <w:tcPr>
            <w:tcW w:type="dxa" w:w="2880"/>
          </w:tcPr>
          <w:p>
            <w:r/>
            <w:r>
              <w:t>&lt;= ~8.0s p50 / ~8.9s p95</w:t>
            </w:r>
          </w:p>
        </w:tc>
      </w:tr>
      <w:tr>
        <w:tc>
          <w:tcPr>
            <w:tcW w:type="dxa" w:w="2880"/>
          </w:tcPr>
          <w:p>
            <w:r/>
            <w:r>
              <w:t>Per-stage (p50)</w:t>
            </w:r>
          </w:p>
        </w:tc>
        <w:tc>
          <w:tcPr>
            <w:tcW w:type="dxa" w:w="2880"/>
          </w:tcPr>
          <w:p>
            <w:r/>
            <w:r>
              <w:t>input_gate 0.0 · router 164.6 · retrieval 83.2 · composer 7790.2 ms</w:t>
            </w:r>
          </w:p>
        </w:tc>
        <w:tc>
          <w:tcPr>
            <w:tcW w:type="dxa" w:w="2880"/>
          </w:tcPr>
          <w:p>
            <w:r/>
            <w:r>
              <w:t>hold (composer-bound)</w:t>
            </w:r>
          </w:p>
        </w:tc>
      </w:tr>
      <w:tr>
        <w:tc>
          <w:tcPr>
            <w:tcW w:type="dxa" w:w="2880"/>
          </w:tcPr>
          <w:p>
            <w:r/>
            <w:r>
              <w:t>Cost/query</w:t>
            </w:r>
          </w:p>
        </w:tc>
        <w:tc>
          <w:tcPr>
            <w:tcW w:type="dxa" w:w="2880"/>
          </w:tcPr>
          <w:p>
            <w:r/>
            <w:r>
              <w:t>cached $0.0169 · uncached-equiv $0.0288 (caching saves $0.0119/query)</w:t>
            </w:r>
          </w:p>
        </w:tc>
        <w:tc>
          <w:tcPr>
            <w:tcW w:type="dxa" w:w="2880"/>
          </w:tcPr>
          <w:p>
            <w:r/>
            <w:r>
              <w:t>&lt;= ~$0.017 cached</w:t>
            </w:r>
          </w:p>
        </w:tc>
      </w:tr>
      <w:tr>
        <w:tc>
          <w:tcPr>
            <w:tcW w:type="dxa" w:w="2880"/>
          </w:tcPr>
          <w:p>
            <w:r/>
            <w:r>
              <w:t>Quality (grounding, recall@k, routing, register, out-of-scope)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TBD — W3.x eval harness (not fabricated)</w:t>
            </w:r>
          </w:p>
        </w:tc>
      </w:tr>
    </w:tbl>
    <w:p>
      <w:r>
        <w:rPr>
          <w:b w:val="0"/>
          <w:i w:val="0"/>
        </w:rPr>
        <w:t>Latency shape: ~97% of total e2e is the composer (7790 of 8045 ms at p50). The local path (gate + router + retrieval) is ~248 ms combined. Perceived latency rides on TTFT (~1.2s), since the streamed answer drives sentence-chunked TTS — so TTFT, not total e2e, is the number the user feels.</w:t>
      </w:r>
    </w:p>
    <w:p>
      <w:r>
        <w:rPr>
          <w:b w:val="0"/>
          <w:i w:val="0"/>
        </w:rPr>
        <w:t>Observations from the run (flagged, not acted on): every one of the 10 queries saturated the dynamic cutoff at MAX_K=12 chunks (the cutoff never bound below the ceiling), and 2 of 10 answers hit the MAX_TOKENS=300 cap. Both are inputs to the W3.x payload/threshold sweep, not defects.</w:t>
      </w:r>
    </w:p>
    <w:p>
      <w:pPr>
        <w:pStyle w:val="Heading1"/>
      </w:pPr>
      <w:r>
        <w:t>Caveats (do not omit — these protect downstream decisions)</w:t>
      </w:r>
    </w:p>
    <w:p>
      <w:r>
        <w:t>1. Single warmed run, n=10, constructed query set. The W1.9 numbers come from one warmed run of 10 queries on a CONSTRUCTED draft-query set (draft_queries_v1.json) — no official frozen set existed. All targets here are PROVISIONAL until the frozen set + the W1.11 anchor exist.</w:t>
      </w:r>
    </w:p>
    <w:p>
      <w:r>
        <w:t>2. OPEN ITEM — blocks W1.11 (highest priority, must not slip). The frozen draft-query set must be DEFINED and SIGNED OFF before W1.11 tags arch-baseline. The anchor (the W3.3 sweep comparator) will be measured on whatever query set exists at that moment — so a sloppy set permanently distorts every later comparison. Owner: Sheena.</w:t>
      </w:r>
    </w:p>
    <w:p>
      <w:r>
        <w:t>3. ENVIRONMENT PRECONDITION (standing). The Service host requires Avast HTTPS scanning OFF for the venv python.exe (it injects an applink-incompatible OpenSSL that hard-aborts native TLS). All other Avast shields stay ON — see the documented Service-host security profile. This recurs on ANY host running TLS-inspecting security software (Sheena's box, the eventual Service host), so treat it as a provisioning checklist item.</w:t>
      </w:r>
    </w:p>
    <w:p>
      <w:r>
        <w:t>4. OUT_OF_SCOPE_THRESHOLD is provisional/uncalibrated. The query-time out-of-scope gate (config.OUT_OF_SCOPE_THRESHOLD=0.15) is distinct from the 0.68 doc/chunk assignment floor and is not yet calibrated. Calibrate it once real queries exist (W3.x); until then, out-of-scope handling targets stay TBD.</w:t>
      </w:r>
    </w:p>
    <w:p>
      <w:pPr>
        <w:pStyle w:val="Heading1"/>
      </w:pPr>
      <w: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Sign-off</w:t>
            </w:r>
          </w:p>
        </w:tc>
      </w:tr>
      <w:tr>
        <w:tc>
          <w:tcPr>
            <w:tcW w:type="dxa" w:w="2880"/>
          </w:tcPr>
          <w:p>
            <w:r/>
            <w:r>
              <w:t>Implementation lead</w:t>
            </w:r>
          </w:p>
        </w:tc>
        <w:tc>
          <w:tcPr>
            <w:tcW w:type="dxa" w:w="2880"/>
          </w:tcPr>
          <w:p>
            <w:r/>
            <w:r>
              <w:t>Pao</w:t>
            </w:r>
          </w:p>
        </w:tc>
        <w:tc>
          <w:tcPr>
            <w:tcW w:type="dxa" w:w="2880"/>
          </w:tcPr>
          <w:p>
            <w:r/>
            <w:r>
              <w:t>[  ]</w:t>
            </w:r>
          </w:p>
        </w:tc>
      </w:tr>
      <w:tr>
        <w:tc>
          <w:tcPr>
            <w:tcW w:type="dxa" w:w="2880"/>
          </w:tcPr>
          <w:p>
            <w:r/>
            <w:r>
              <w:t>Dev</w:t>
            </w:r>
          </w:p>
        </w:tc>
        <w:tc>
          <w:tcPr>
            <w:tcW w:type="dxa" w:w="2880"/>
          </w:tcPr>
          <w:p>
            <w:r/>
            <w:r>
              <w:t>Dev0</w:t>
            </w:r>
          </w:p>
        </w:tc>
        <w:tc>
          <w:tcPr>
            <w:tcW w:type="dxa" w:w="2880"/>
          </w:tcPr>
          <w:p>
            <w:r/>
            <w:r>
              <w:t>[  ]</w:t>
            </w:r>
          </w:p>
        </w:tc>
      </w:tr>
      <w:tr>
        <w:tc>
          <w:tcPr>
            <w:tcW w:type="dxa" w:w="2880"/>
          </w:tcPr>
          <w:p>
            <w:r/>
            <w:r>
              <w:t>Support / eval / curation</w:t>
            </w:r>
          </w:p>
        </w:tc>
        <w:tc>
          <w:tcPr>
            <w:tcW w:type="dxa" w:w="2880"/>
          </w:tcPr>
          <w:p>
            <w:r/>
            <w:r>
              <w:t>Sheena</w:t>
            </w:r>
          </w:p>
        </w:tc>
        <w:tc>
          <w:tcPr>
            <w:tcW w:type="dxa" w:w="2880"/>
          </w:tcPr>
          <w:p>
            <w:r/>
            <w:r>
              <w:t>[  ]</w:t>
            </w:r>
          </w:p>
        </w:tc>
      </w:tr>
    </w:tbl>
    <w:p>
      <w:r>
        <w:rPr>
          <w:b/>
          <w:i w:val="0"/>
        </w:rPr>
        <w:t>W1.10 is marked done only after sign-off. Next gated step (W1.11, arch-baseline tag) must not start until caveat #2 (frozen query set) is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