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9C6B15"/>
          <w:spacing w:val="40"/>
          <w:sz w:val="18"/>
          <w:szCs w:val="18"/>
        </w:rPr>
        <w:t xml:space="preserve">CJP AI PERSONA KIOSK · W3.5</w:t>
      </w:r>
    </w:p>
    <w:p>
      <w:pPr>
        <w:spacing w:after="50"/>
      </w:pPr>
      <w:r>
        <w:rPr>
          <w:rFonts w:ascii="Georgia" w:cs="Georgia" w:eastAsia="Georgia" w:hAnsi="Georgia"/>
          <w:b/>
          <w:bCs/>
          <w:color w:val="1F3864"/>
          <w:sz w:val="34"/>
          <w:szCs w:val="34"/>
        </w:rPr>
        <w:t xml:space="preserve">Pilot Report &amp; Go / No-Go — SCAFFOLD</w:t>
      </w:r>
    </w:p>
    <w:p>
      <w:pPr>
        <w:pBdr>
          <w:bottom w:val="single" w:color="9C6B15" w:sz="12" w:space="1"/>
        </w:pBdr>
        <w:spacing w:after="170" w:before="60"/>
      </w:pPr>
      <w:r>
        <w:t xml:space="preserve"/>
      </w:r>
    </w:p>
    <w:p>
      <w:pPr>
        <w:spacing w:after="14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Foundation for Liberty and Prosperity · 3-week pilot · status: DRAFT SCAFFOLD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Filled sections are repo-verified (stage-gate audit, 2026-07-15). Amber boxes are the explicit holes — each names what closes it and its cost. The report is final when zero amber boxes remain.</w:t>
      </w:r>
    </w:p>
    <w:p>
      <w:pPr>
        <w:pBdr>
          <w:bottom w:val="single" w:color="D9D9D9" w:sz="6" w:space="4"/>
        </w:pBdr>
        <w:spacing w:after="100" w:before="280"/>
      </w:pPr>
      <w:r>
        <w:rPr>
          <w:rFonts w:ascii="Georgia" w:cs="Georgia" w:eastAsia="Georgia" w:hAnsi="Georgia"/>
          <w:b/>
          <w:bCs/>
          <w:color w:val="1F3864"/>
          <w:sz w:val="25"/>
          <w:szCs w:val="25"/>
        </w:rPr>
        <w:t xml:space="preserve">1 · Executive summary &amp; recommendation</w:t>
      </w:r>
    </w:p>
    <w:p>
      <w:pPr>
        <w:spacing w:after="80" w:line="266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The pilot set out to prove that a retrieval-grounded AI persona of Chief Justice Panganiban can answer visitor questions accurately, in voice, at kiosk-viable speed and cost. On the measured evidence, it can: 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retrieval finds the right source 97% of the time, no answer has ever fabricated a citation, cost is ~3¢ per answer, and the robot starts speaking in ~2.5–3 seconds.</w:t>
      </w:r>
    </w:p>
    <w:tbl>
      <w:tblPr>
        <w:tblW w:type="pct" w:w="100%"/>
        <w:tblBorders>
          <w:top w:val="single" w:color="C88A2A" w:sz="6"/>
          <w:left w:val="single" w:color="C88A2A" w:sz="6"/>
          <w:bottom w:val="single" w:color="C88A2A" w:sz="6"/>
          <w:right w:val="single" w:color="C88A2A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3E3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88A2A"/>
                <w:sz w:val="19"/>
                <w:szCs w:val="19"/>
              </w:rPr>
              <w:t xml:space="preserve">■ PENDING — Go / No-Go recommendation</w:t>
            </w:r>
          </w:p>
          <w:p>
            <w:pPr>
              <w:spacing w:after="24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Cannot be written yet.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It depends on the three verification holes below (live TTFA, OOS close, A/B result).</w:t>
            </w:r>
          </w:p>
          <w:p>
            <w:pPr>
              <w:spacing w:after="24" w:line="25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Owner: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Dev0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, after DEBT-2/3/4 runs land. Draft language for GO: “proceed to robot-integration phase; pipeline quality/cost/speed meet pilot targets.”</w:t>
            </w:r>
          </w:p>
        </w:tc>
      </w:tr>
    </w:tbl>
    <w:p>
      <w:pPr>
        <w:pBdr>
          <w:bottom w:val="single" w:color="D9D9D9" w:sz="6" w:space="4"/>
        </w:pBdr>
        <w:spacing w:after="100" w:before="280"/>
      </w:pPr>
      <w:r>
        <w:rPr>
          <w:rFonts w:ascii="Georgia" w:cs="Georgia" w:eastAsia="Georgia" w:hAnsi="Georgia"/>
          <w:b/>
          <w:bCs/>
          <w:color w:val="1F3864"/>
          <w:sz w:val="25"/>
          <w:szCs w:val="25"/>
        </w:rPr>
        <w:t xml:space="preserve">2 · What was built</w:t>
      </w:r>
    </w:p>
    <w:p>
      <w:pPr>
        <w:spacing w:after="80" w:line="266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 three-phase pipeline: 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local hybrid retrieval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(dense bge-large embeddings + BM25 exact matching, RRF-fused, biased by a 34-topic dimensional model), a 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streamed Sonnet composer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with a static Voice-Card persona and trailing ENVELOPE metadata, and a 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stream-overlap voice front-end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that begins speaking before the answer finishes. Retrieval is deterministic — zero LLM calls before composition.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Corpus: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1,089 documents indexed (785 columns, 154 speeches, 115 book chapters, 35 biography sections) → 8,887 chunks; the pilot answers from a frozen 95-document subset (827 chunks).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Safeguards built: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out-of-scope decline (layered: loose gate + composer backstop), graceful degradation on API failure, date index + expand-on-demand (built, shipped dark), full per-stage instrumentation.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Reproducibility: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every build sha-pinned and tagged (arch-baseline → v2 → v3); frozen 40-query eval anchor (sha 65492b65) with a 40/40 human-labeled gold set; evidence chain committed to origin.</w:t>
      </w:r>
    </w:p>
    <w:p>
      <w:pPr>
        <w:pBdr>
          <w:bottom w:val="single" w:color="D9D9D9" w:sz="6" w:space="4"/>
        </w:pBdr>
        <w:spacing w:after="100" w:before="280"/>
      </w:pPr>
      <w:r>
        <w:rPr>
          <w:rFonts w:ascii="Georgia" w:cs="Georgia" w:eastAsia="Georgia" w:hAnsi="Georgia"/>
          <w:b/>
          <w:bCs/>
          <w:color w:val="1F3864"/>
          <w:sz w:val="25"/>
          <w:szCs w:val="25"/>
        </w:rPr>
        <w:t xml:space="preserve">3 · Results (measured, repo-verified)</w:t>
      </w:r>
    </w:p>
    <w:p>
      <w:pPr>
        <w:spacing w:after="60" w:before="150"/>
      </w:pPr>
      <w:r>
        <w:rPr>
          <w:rFonts w:ascii="Georgia" w:cs="Georgia" w:eastAsia="Georgia" w:hAnsi="Georgia"/>
          <w:b/>
          <w:bCs/>
          <w:color w:val="9C6B15"/>
          <w:sz w:val="20"/>
          <w:szCs w:val="20"/>
        </w:rPr>
        <w:t xml:space="preserve">Quality</w:t>
      </w:r>
    </w:p>
    <w:tbl>
      <w:tblPr>
        <w:tblW w:type="pct" w:w="100%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3300"/>
        <w:gridCol w:w="3600"/>
        <w:gridCol w:w="2380"/>
      </w:tblGrid>
      <w:tr>
        <w:trPr>
          <w:tblHeader/>
        </w:trPr>
        <w:tc>
          <w:tcPr>
            <w:shd w:fill="1F3864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Metric</w:t>
            </w:r>
          </w:p>
        </w:tc>
        <w:tc>
          <w:tcPr>
            <w:shd w:fill="1F3864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  <w:tc>
          <w:tcPr>
            <w:shd w:fill="1F3864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recall@5 (reachable, N=34)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0.971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w3_2_REGRADE_v3_v4gold.json (e18e1d1)</w:t>
            </w:r>
          </w:p>
        </w:tc>
      </w:tr>
      <w:tr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recall@1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0.735 — B9 sole coverage miss + 8 rank-2/3 near-misses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same §B</w:t>
            </w:r>
          </w:p>
        </w:tc>
      </w:tr>
      <w:tr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Fabricated citations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0 / 40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w3_2_FULL_v3_c1637cd.json §C</w:t>
            </w:r>
          </w:p>
        </w:tc>
      </w:tr>
      <w:tr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Empty-cited in-scope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0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same</w:t>
            </w:r>
          </w:p>
        </w:tc>
      </w:tr>
      <w:tr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Out-of-scope behavior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weather + restaurant probes both declined (directive ON)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w3_7_oos_calibration_fc66b9e.json</w:t>
            </w:r>
          </w:p>
        </w:tc>
      </w:tr>
    </w:tbl>
    <w:p>
      <w:pPr>
        <w:spacing w:after="60" w:before="150"/>
      </w:pPr>
      <w:r>
        <w:rPr>
          <w:rFonts w:ascii="Georgia" w:cs="Georgia" w:eastAsia="Georgia" w:hAnsi="Georgia"/>
          <w:b/>
          <w:bCs/>
          <w:color w:val="9C6B15"/>
          <w:sz w:val="20"/>
          <w:szCs w:val="20"/>
        </w:rPr>
        <w:t xml:space="preserve">Speed</w:t>
      </w:r>
    </w:p>
    <w:tbl>
      <w:tblPr>
        <w:tblW w:type="pct" w:w="100%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3300"/>
        <w:gridCol w:w="4200"/>
        <w:gridCol w:w="1780"/>
      </w:tblGrid>
      <w:tr>
        <w:trPr>
          <w:tblHeader/>
        </w:trPr>
        <w:tc>
          <w:tcPr>
            <w:shd w:fill="1F3864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Metric</w:t>
            </w:r>
          </w:p>
        </w:tc>
        <w:tc>
          <w:tcPr>
            <w:shd w:fill="1F3864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  <w:tc>
          <w:tcPr>
            <w:shd w:fill="1F3864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Note</w:t>
            </w:r>
          </w:p>
        </w:tc>
      </w:tr>
      <w:tr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Retrieval total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621 ms p50 — 86% is the query embed (535 ms), GPU-state unstable 165→535 ms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the on-device risk</w:t>
            </w:r>
          </w:p>
        </w:tc>
      </w:tr>
      <w:tr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TTFT (writing starts)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1.53 s p50 / 2.6 s p95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directive-OFF, native</w:t>
            </w:r>
          </w:p>
        </w:tc>
      </w:tr>
      <w:tr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Full compose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10.4 s p50 — hidden under speech by streaming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not visitor-felt</w:t>
            </w:r>
          </w:p>
        </w:tc>
      </w:tr>
      <w:tr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TTFA (visitor hears the robot)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replay proxy 2.5 s p50 — LIVE unmeasured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see hole below</w:t>
            </w:r>
          </w:p>
        </w:tc>
      </w:tr>
    </w:tbl>
    <w:p>
      <w:pPr>
        <w:spacing w:after="60" w:before="150"/>
      </w:pPr>
      <w:r>
        <w:rPr>
          <w:rFonts w:ascii="Georgia" w:cs="Georgia" w:eastAsia="Georgia" w:hAnsi="Georgia"/>
          <w:b/>
          <w:bCs/>
          <w:color w:val="9C6B15"/>
          <w:sz w:val="20"/>
          <w:szCs w:val="20"/>
        </w:rPr>
        <w:t xml:space="preserve">Cost</w:t>
      </w:r>
    </w:p>
    <w:p>
      <w:pPr>
        <w:spacing w:after="80" w:line="266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$0.028 per answer uncached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(the honest kiosk regime — sporadic traffic outlives the 5-min cache TTL); $1.12 per 40-query run. Projections: 1,000 questions ≈ $28; a 150-query demo day ≈ $4.20; a 50-query/day kiosk month ≈ $42. Recorded dev spend $2.22 (true total plausibly $4–6; several early runs logged no cost telemetry).</w:t>
      </w:r>
    </w:p>
    <w:tbl>
      <w:tblPr>
        <w:tblW w:type="pct" w:w="100%"/>
        <w:tblBorders>
          <w:top w:val="single" w:color="C88A2A" w:sz="6"/>
          <w:left w:val="single" w:color="C88A2A" w:sz="6"/>
          <w:bottom w:val="single" w:color="C88A2A" w:sz="6"/>
          <w:right w:val="single" w:color="C88A2A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3E3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88A2A"/>
                <w:sz w:val="19"/>
                <w:szCs w:val="19"/>
              </w:rPr>
              <w:t xml:space="preserve">■ PENDING — Three measurement holes in this section</w:t>
            </w:r>
          </w:p>
          <w:p>
            <w:pPr>
              <w:spacing w:after="24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Live TTFA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— the one visitor-felt number never measured live (replay proxy only). Closes with a ~5–10-compose run through the TTS harness.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[CREDITS, &lt;$0.30] — the single most important pending item.</w:t>
            </w:r>
          </w:p>
          <w:p>
            <w:pPr>
              <w:spacing w:after="24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OOS close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— 3 in-scope queries (A1, D20, E27) never re-verified after the decline directive (billing killed the run). ~3 composes.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[CREDITS, &lt;$0.10]</w:t>
            </w:r>
          </w:p>
          <w:p>
            <w:pPr>
              <w:spacing w:after="24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Directive-ON cost/persona on the full 40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— current cost figures are directive-OFF.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[CREDITS, ~$1.20; doubles as the A/B corpus]</w:t>
            </w:r>
          </w:p>
        </w:tc>
      </w:tr>
    </w:tbl>
    <w:p>
      <w:pPr>
        <w:pBdr>
          <w:bottom w:val="single" w:color="D9D9D9" w:sz="6" w:space="4"/>
        </w:pBdr>
        <w:spacing w:after="100" w:before="280"/>
      </w:pPr>
      <w:r>
        <w:rPr>
          <w:rFonts w:ascii="Georgia" w:cs="Georgia" w:eastAsia="Georgia" w:hAnsi="Georgia"/>
          <w:b/>
          <w:bCs/>
          <w:color w:val="1F3864"/>
          <w:sz w:val="25"/>
          <w:szCs w:val="25"/>
        </w:rPr>
        <w:t xml:space="preserve">4 · KPI scorecard</w:t>
      </w:r>
    </w:p>
    <w:tbl>
      <w:tblPr>
        <w:tblW w:type="pct" w:w="100%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3100"/>
        <w:gridCol w:w="1700"/>
        <w:gridCol w:w="3300"/>
        <w:gridCol w:w="1180"/>
      </w:tblGrid>
      <w:tr>
        <w:trPr>
          <w:tblHeader/>
        </w:trPr>
        <w:tc>
          <w:tcPr>
            <w:shd w:fill="1F3864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KPI</w:t>
            </w:r>
          </w:p>
        </w:tc>
        <w:tc>
          <w:tcPr>
            <w:shd w:fill="1F3864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shd w:fill="1F3864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Current</w:t>
            </w:r>
          </w:p>
        </w:tc>
        <w:tc>
          <w:tcPr>
            <w:shd w:fill="1F3864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recall@5 (reachable)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≥0.95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0.971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GREEN</w:t>
            </w:r>
          </w:p>
        </w:tc>
      </w:tr>
      <w:tr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Fabricated citations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0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0/40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GREEN</w:t>
            </w:r>
          </w:p>
        </w:tc>
      </w:tr>
      <w:tr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TTFT p50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≤2 s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1.53 s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GREEN</w:t>
            </w:r>
          </w:p>
        </w:tc>
      </w:tr>
      <w:tr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Cost / answer (uncached)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≤$0.05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$0.028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GREEN</w:t>
            </w:r>
          </w:p>
        </w:tc>
      </w:tr>
      <w:tr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Degradation behavior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graceful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verified under real billing failure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GREEN</w:t>
            </w:r>
          </w:p>
        </w:tc>
      </w:tr>
      <w:tr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Evidence durability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0 uncommitted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0 (DEBT-1 closed, pushed d86e976)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GREEN</w:t>
            </w:r>
          </w:p>
        </w:tc>
      </w:tr>
      <w:tr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recall@1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(improve)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0.735 — W3.4 targets locked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AMBER</w:t>
            </w:r>
          </w:p>
        </w:tc>
      </w:tr>
      <w:tr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OOS robustness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verified broadly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2/2 probes — n too small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AMBER</w:t>
            </w:r>
          </w:p>
        </w:tc>
      </w:tr>
      <w:tr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In-scope false-declines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0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0 verified / 3 unverified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AMBER</w:t>
            </w:r>
          </w:p>
        </w:tc>
      </w:tr>
      <w:tr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TTFA p50 (live)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≤3 s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UNMEASURED (proxy 2.5 s)</w:t>
            </w:r>
          </w:p>
        </w:tc>
        <w:tc>
          <w:tcPr>
            <w:shd w:fill="EFEFE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RED</w:t>
            </w:r>
          </w:p>
        </w:tc>
      </w:tr>
      <w:tr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Robot integration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seam confirmed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design-only; 8 MUST-CONFIRMs open</w:t>
            </w:r>
          </w:p>
        </w:tc>
        <w:tc>
          <w:tcPr>
            <w:shd w:fill="FFFFFF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7"/>
                <w:szCs w:val="17"/>
              </w:rPr>
              <w:t xml:space="preserve">RED</w:t>
            </w:r>
          </w:p>
        </w:tc>
      </w:tr>
    </w:tbl>
    <w:p>
      <w:pPr>
        <w:pBdr>
          <w:bottom w:val="single" w:color="D9D9D9" w:sz="6" w:space="4"/>
        </w:pBdr>
        <w:spacing w:after="100" w:before="280"/>
      </w:pPr>
      <w:r>
        <w:rPr>
          <w:rFonts w:ascii="Georgia" w:cs="Georgia" w:eastAsia="Georgia" w:hAnsi="Georgia"/>
          <w:b/>
          <w:bCs/>
          <w:color w:val="1F3864"/>
          <w:sz w:val="25"/>
          <w:szCs w:val="25"/>
        </w:rPr>
        <w:t xml:space="preserve">5 · What remains open (the complete hole list)</w:t>
      </w:r>
    </w:p>
    <w:tbl>
      <w:tblPr>
        <w:tblW w:type="pct" w:w="100%"/>
        <w:tblBorders>
          <w:top w:val="single" w:color="C88A2A" w:sz="6"/>
          <w:left w:val="single" w:color="C88A2A" w:sz="6"/>
          <w:bottom w:val="single" w:color="C88A2A" w:sz="6"/>
          <w:right w:val="single" w:color="C88A2A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3E3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88A2A"/>
                <w:sz w:val="19"/>
                <w:szCs w:val="19"/>
              </w:rPr>
              <w:t xml:space="preserve">■ PENDING — Human decisions — no spend, longest lead times</w:t>
            </w:r>
          </w:p>
          <w:p>
            <w:pPr>
              <w:spacing w:after="24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Embedder + deployment topology (Dok)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— bge-large (~1.3 GB) vs MiniLM (~90 MB) on a 4 GB no-GPU CM4; doubles as the on-device-vs-host decision. A $0 local bake-off is queued to data-back it.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Deadline: ahead of robot arrival (~2–3 months).</w:t>
            </w:r>
          </w:p>
          <w:p>
            <w:pPr>
              <w:spacing w:after="24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Wake word (Dev0)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— garbled in the Jul-4 minutes (“Seejop”/“CJ”); parameterized in the seam, needs the actual word.</w:t>
            </w:r>
          </w:p>
          <w:p>
            <w:pPr>
              <w:spacing w:after="24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Gold label confirms + OOS probes (Sheena)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— 6 low-confidence labels to SME-confirm; 4–6 new OOS probes (incl. one adversarial) to harden the n=2 calibration. $0, pure labeling.</w:t>
            </w:r>
          </w:p>
          <w:p>
            <w:pPr>
              <w:spacing w:after="24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End-to-end A/B (Frank/Kate)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 — assessors named, corpus not yet generated (needs the directive-ON full-40 run above). Winner column empty.</w:t>
            </w:r>
          </w:p>
        </w:tc>
      </w:tr>
    </w:tbl>
    <w:tbl>
      <w:tblPr>
        <w:tblW w:type="pct" w:w="100%"/>
        <w:tblBorders>
          <w:top w:val="single" w:color="C88A2A" w:sz="6"/>
          <w:left w:val="single" w:color="C88A2A" w:sz="6"/>
          <w:bottom w:val="single" w:color="C88A2A" w:sz="6"/>
          <w:right w:val="single" w:color="C88A2A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3E3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88A2A"/>
                <w:sz w:val="19"/>
                <w:szCs w:val="19"/>
              </w:rPr>
              <w:t xml:space="preserve">■ PENDING — Credit-gated verification runs — total &lt;$2</w:t>
            </w:r>
          </w:p>
          <w:p>
            <w:pPr>
              <w:spacing w:after="24" w:line="25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One combined run (~15 composes): A1/D20/E27 re-verify + cost/latency Tables 1&amp;3 auto-fill + directive-ON cost.</w:t>
            </w:r>
          </w:p>
          <w:p>
            <w:pPr>
              <w:spacing w:after="24" w:line="25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Live TTFA run (~5–10 composes).</w:t>
            </w:r>
          </w:p>
          <w:p>
            <w:pPr>
              <w:spacing w:after="24" w:line="25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Full-40 directive-ON pass → the A/B corpus.</w:t>
            </w:r>
          </w:p>
          <w:p>
            <w:pPr>
              <w:spacing w:after="24" w:line="25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Recommendation carried from the audit: set a $20 credit floor + pre-run billing ping — exhaustion has killed two runs.</w:t>
            </w:r>
          </w:p>
        </w:tc>
      </w:tr>
    </w:tbl>
    <w:p>
      <w:pPr>
        <w:pBdr>
          <w:bottom w:val="single" w:color="D9D9D9" w:sz="6" w:space="4"/>
        </w:pBdr>
        <w:spacing w:after="100" w:before="280"/>
      </w:pPr>
      <w:r>
        <w:rPr>
          <w:rFonts w:ascii="Georgia" w:cs="Georgia" w:eastAsia="Georgia" w:hAnsi="Georgia"/>
          <w:b/>
          <w:bCs/>
          <w:color w:val="1F3864"/>
          <w:sz w:val="25"/>
          <w:szCs w:val="25"/>
        </w:rPr>
        <w:t xml:space="preserve">6 · Risks &amp; mitigations (top 4)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On-device embed latency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(High) — the 535 ms embed moves to ARM CPU on the robot; likely seconds/query. Mitigation: the embedder/topology decision (Dok) + $0 bake-off; host-side embedding is the fallback.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Environment fragility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(High) — Avast TLS flapping contaminated two runs; credit exhaustion killed two. Mitigations: transport preflight committed; credit floor + billing ping recommended, not yet adopted.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OOS thinness for a public kiosk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(Med) — the decline mechanism is verified on 2 probes; no adversarial/safety probes exist. Mitigation: Sheena's probe expansion, then re-verify.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Legacy app confusion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(Low×High) — pre-W1.8 kiosk apps still in repo (Haiku router, OpenAI STT); launching the wrong one bypasses everything built since. Mitigation owed: deprecation banner or removal.</w:t>
      </w:r>
    </w:p>
    <w:p>
      <w:pPr>
        <w:pBdr>
          <w:bottom w:val="single" w:color="D9D9D9" w:sz="6" w:space="4"/>
        </w:pBdr>
        <w:spacing w:after="100" w:before="280"/>
      </w:pPr>
      <w:r>
        <w:rPr>
          <w:rFonts w:ascii="Georgia" w:cs="Georgia" w:eastAsia="Georgia" w:hAnsi="Georgia"/>
          <w:b/>
          <w:bCs/>
          <w:color w:val="1F3864"/>
          <w:sz w:val="25"/>
          <w:szCs w:val="25"/>
        </w:rPr>
        <w:t xml:space="preserve">7 · Robot integration readiness</w:t>
      </w:r>
    </w:p>
    <w:p>
      <w:pPr>
        <w:spacing w:after="80" w:line="266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The seam design exists (design/w2_7_reachy_seam.md + stubs, committed) with 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8 MUST-CONFIRM assumptions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open — LLM slot protocol, in-process vs endpoint, sentence-chunking owner, envelope side-channel, audio format, robot-host transport, turn lifecycle/barge-in, STT contract. 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No Linux TTS is verified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(Piper voice model never obtained; SAPI is Windows-only) and 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no new-pipeline ASR integration exists.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Deployment topology (on-device vs host) is undecided — it is the same decision as the embedder.</w:t>
      </w:r>
    </w:p>
    <w:tbl>
      <w:tblPr>
        <w:tblW w:type="pct" w:w="100%"/>
        <w:tblBorders>
          <w:top w:val="single" w:color="C88A2A" w:sz="6"/>
          <w:left w:val="single" w:color="C88A2A" w:sz="6"/>
          <w:bottom w:val="single" w:color="C88A2A" w:sz="6"/>
          <w:right w:val="single" w:color="C88A2A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3E3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88A2A"/>
                <w:sz w:val="19"/>
                <w:szCs w:val="19"/>
              </w:rPr>
              <w:t xml:space="preserve">■ PENDING — Integration decisions needed before the robot arrives</w:t>
            </w:r>
          </w:p>
          <w:p>
            <w:pPr>
              <w:spacing w:after="24" w:line="25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Topology owner + decision date (Dev0 to assign). The embed model decision (Dok) resolves most of it.</w:t>
            </w:r>
          </w:p>
          <w:p>
            <w:pPr>
              <w:spacing w:after="24" w:line="25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Piper voice-model download + a Linux TTS verification pass.</w:t>
            </w:r>
          </w:p>
          <w:p>
            <w:pPr>
              <w:spacing w:after="24" w:line="25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ASR plan: confirm the robot s2s stack (MUST-CONFIRM #8) or scope a fallback.</w:t>
            </w:r>
          </w:p>
          <w:p>
            <w:pPr>
              <w:spacing w:after="24" w:line="25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Wake word (above).</w:t>
            </w:r>
          </w:p>
        </w:tc>
      </w:tr>
    </w:tbl>
    <w:p>
      <w:pPr>
        <w:pBdr>
          <w:bottom w:val="single" w:color="D9D9D9" w:sz="6" w:space="4"/>
        </w:pBdr>
        <w:spacing w:after="100" w:before="280"/>
      </w:pPr>
      <w:r>
        <w:rPr>
          <w:rFonts w:ascii="Georgia" w:cs="Georgia" w:eastAsia="Georgia" w:hAnsi="Georgia"/>
          <w:b/>
          <w:bCs/>
          <w:color w:val="1F3864"/>
          <w:sz w:val="25"/>
          <w:szCs w:val="25"/>
        </w:rPr>
        <w:t xml:space="preserve">8 · Recommended next phase</w:t>
      </w:r>
    </w:p>
    <w:p>
      <w:pPr>
        <w:spacing w:after="80" w:line="266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Sequence: 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close the &lt;$2 verification runs → write the Go/No-Go → Dok decision (bake-off-backed) → W3.3 composer sweep → W3.4 retrieval tuning (B9 + ranking cluster) → robot-integration phase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(topology, Linux TTS, ASR, the 8 MUST-CONFIRMs). The pipeline itself is demo-grade; the remaining work is verification closure and the robot seam.</w:t>
      </w:r>
    </w:p>
    <w:p>
      <w:pPr>
        <w:pBdr>
          <w:bottom w:val="single" w:color="D9D9D9" w:sz="6" w:space="4"/>
        </w:pBdr>
        <w:spacing w:after="100" w:before="280"/>
      </w:pPr>
      <w:r>
        <w:rPr>
          <w:rFonts w:ascii="Georgia" w:cs="Georgia" w:eastAsia="Georgia" w:hAnsi="Georgia"/>
          <w:b/>
          <w:bCs/>
          <w:color w:val="1F3864"/>
          <w:sz w:val="25"/>
          <w:szCs w:val="25"/>
        </w:rPr>
        <w:t xml:space="preserve">9 · Evidence index (for auditors)</w:t>
      </w:r>
    </w:p>
    <w:p>
      <w:pPr>
        <w:spacing w:after="60" w:line="266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Canonical scorecard: eval/results/w3_2_REGRADE_v3_v4gold.json · Full eval: w3_2_FULL_v3_c1637cd.json · OOS: w3_7_oos_calibration_fc66b9e.json · Latency: latency_retrieval_$0.json · Cost: compose_telemetry_harvest.json · Stage-gate audit: project_health_assessment.md + task_status.csv · Tracker: CJP_Pilot_Weekly_Plan_v4.xlsx · All pushed to origin at d86e976.</w:t>
      </w:r>
    </w:p>
    <w:sectPr>
      <w:pgSz w:w="12240" w:h="15840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9C6B1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2026-07-15T18:19:21.680Z</dcterms:created>
  <dcterms:modified xsi:type="dcterms:W3CDTF">2026-07-15T18:19:21.721Z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