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F3864"/>
          <w:sz w:val="28"/>
          <w:szCs w:val="28"/>
        </w:rPr>
        <w:t xml:space="preserve">A Retrieval-Grounded Judicial Persona Kiosk: Hybrid Retrieval with a Centroid-Based Dimensional Model and an Embedding-Model Trade Study for Edge Deployment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[Author list &amp; order TBD: Dev0, Pao, Sheena, Dok — affiliations: Foundation for Liberty and Prosperity]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9C6B15"/>
          <w:sz w:val="17"/>
          <w:szCs w:val="17"/>
        </w:rPr>
        <w:t xml:space="preserve">WORKING PAPER / PRE-SUBMISSION DRAFT — July 2026. Pre-tuning baseline results; sections marked [PENDING] await sub-$2 verification runs.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Abstract</w:t>
      </w:r>
    </w:p>
    <w:p>
      <w:pPr>
        <w:spacing w:after="6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 present the design, measurement, and embedding-model trade study of a retrieval-augmented generation (RAG) system that answers visitor questions in the persona of a retired Chief Justice, targeting deployment on a GPU-less desktop robot (Raspberry Pi CM4). The system combines dense retrieval (bge-large-en-v1.5), sparse lexical retrieval (BM25 with a curated atomic-phrase dictionary), reciprocal rank fusion, a 34-topic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dimensional model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topic centroids in embedding space that softly bias retrieval and drive a deterministic router with zero pre-composition LLM calls — an adaptive softmax-temperature nucleus cutoff, and a streamed LLM composer overlapped with incremental text-to-speech. On a frozen 40-query anchor with a human-labeled gold set (34 recall-gradeable items), the baseline achieves recall@5 = 0.971 on reachable gold with zero fabricated citations across all runs, at US$0.028 per uncached answer and a perceived response onset of ~2.5 s via stream-overlap. Per-stage instrumentation attributes 86% of retrieval latency to query embedding, motivating a four-candidate embedding trade study (bge-large fp32, MiniLM-L6, bge-base, int8-quantized bge-large) using per-candidate centroid rebuilds and a proposed metric,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recall@chunks-sent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which grades at the retrieval depth the composer actually receives. Key findings: int8 quantization is quality-lossless (identical hits; cosine fidelity 1.0) but yields only ~10% CPU speedup — a memory fix, not a speed fix; recall@chunks-sent compresses the small-model quality gap by 2–4× relative to recall@5 (bge-base: −2.9 pts at 4× lower query latency); and the smallest model uniquely retrieves one document to which the entire bge family is blind. We discuss the resulting host-versus-edge deployment frames and the evaluation-integrity controls (frozen artifacts, content-aware diffs, denominator assertions) that detected and repaired a mid-study gold-set corruption within one run.</w:t>
      </w:r>
    </w:p>
    <w:p>
      <w:pPr>
        <w:spacing w:after="4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Keywords: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retrieval-augmented generation; hybrid retrieval; embedding models; quantization; edge deployment; conversational kiosk; evaluation integrity.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1  Introduction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Museum and civic-education kiosks increasingly employ conversational agents, but grounding requirements are unusually strict when the agent speaks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as a real public figure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every claim must trace to the figure's actual writings, fabrication is reputationally unacceptable, and the deployment target — an interactive desktop robot — imposes hard latency and memory budgets without GPU acceleration. This paper documents a three-week pilot that built and measured such a system for the Foundation for Liberty and Prosperity (FLP): a kiosk persona of retired Philippine Chief Justice Artemio V. Panganiban, grounded in a 1,089-document corpus of his columns, speeches, books, and biography.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Contributions: (1) an architecture combining hybrid retrieval with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centroid-based dimensional model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that provides topic control as a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soft prior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rather than a hard gate, reused by a deterministic router that eliminates all pre-composition LLM calls; (2) full per-stage latency/cost instrumentation showing query embedding dominates retrieval (86%); (3)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four-candidate embedding trade study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with methodology contributions — per-candidate centroid rebuilds and the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recall@chunks-sent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metric — that materially change the perceived quality/latency trade; (4) an honest account of evaluation-integrity engineering, including a frozen-artifact corruption incident detected by the evaluation's own consistency assertions.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2  System Architecture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pipeline has an offline build phase and a deterministic per-query runtime (Fig. 1). Offline, all 8,887 chunks from 1,089 documents are embedded once; a curated 34-topic taxonomy defines the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dimensions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and each topic's centroid is the mean embedding of its member chunks. The pilot retrieves from a frozen, theme-balanced 95-document subset (827 chunks; 19 documents per theme), an eval-time allowlist deliberately decoupled from chunking.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Figure 1. Offline dimensional-model build (top) and deterministic per-query runtime (bottom). Gold dashed paths carry the centroid signal, which biases retrieval and drives the router.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2.1  Runtime components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Query embedding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(bge-large-en-v1.5, 1024-d, resident) — the shared space in which chunks, centroids, and queries live.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Dense search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exact brute-force cosine over 827 chunk vectors (&lt;3 ms at pilot scale; ANN is the documented scale path).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Sparse arm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BM25 over chunk text plus a curated atomic-phrase dictionary. Corpus analysis motivated this: 94% of keywords occur in exactly one document and 91% are multi-word phrases, favoring BM25 with phrase entries over TF-IDF; exact legal identifiers (case names, statute numbers) are unreachable by semantic match alone.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Fusion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reciprocal rank fusion (RRF) merges the two ranked lists without cross-arm score calibration; a λ-weighted topic-affinity term from the dimensional model then biases (never gates) the fused ranking.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Adaptive cutoff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softmax-temperature nucleus selection (temp 0.06, MIN_K = 4, ceiling 12) keeps chunks by relevance mass rather than fixed count; it replaced a degenerate flat top-p over raw RRF scores (which retained 753/827 chunks) and reduced composer input tokens by 28% with zero grounding loss.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Deterministic router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reuses the centroid relevance vector to select topic/register in 0.19 ms; an earlier LLM router was removed, leaving zero LLM calls before composition.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Composer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a streamed LLM (Claude Sonnet) with a cached static persona prefix, slim chunk payload (−49% input tokens vs whole-document), and a trailing ENVELOPE metadata block (cited doc-ids, register) kept out of the spoken stream. A question-keyed decline directive handles out-of-scope queries (§5.4).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Voice front-end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sentence-chunked stream-overlap to TTS: speech begins on the first completed sentence while generation continues (perceived onset ~2.5 s vs ~8.8 s full-wait).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3  Evaluation Methodology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3.1  Frozen anchor and gold set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quality claims are graded against a frozen 40-query anchor (SHA-pinned) spanning five case types, with a human-labeled gold set assigning per-query gold document ids, scope labels, confidence, and expected behavior. Grading is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scope-aware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34 in-scope queries are recall-gradeable; two out-of-scope probes are graded on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declining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; two meta queries on identity response; two corpus-gap queries on graceful non-fabrication. Sentinel labels (OOS/META/GAP) are never treated as document ids. The gold universe is restricted per query to the frozen 95-document pilot subset; three queries whose original gold lay outside it were re-anchored or honestly re-classified as gaps rather than scored as structural misses.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3.2  Metrics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recall@k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(doc-level): a query hits at k if any top-k chunk's parent document is in its gold set.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recall@chunks-sent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(proposed): recall graded at the k the adaptive cutoff </w:t>
      </w: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actually returned for that query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in the canonical run (median 9, range 4–12) — i.e., at the retrieval depth the composer really receives. Fixed-k metrics misstate adaptive-retrieval systems: recall@5 understates and recall@10 overstates what reaches composition.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Grounding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: fabricated-citation rate (cited id absent from corpus or from that query's retrieved set) and empty-citation rate. Fabrication is necessary but not sufficient; citation coverage is checked separately.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Latency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: per-stage wall-clock (embed, sparse, dense, fusion, centroid, cutoff, router) with p50/p95; compose-side TTFT and full-compose; TTFA (first audio) via replay proxy, live measurement pending.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Cost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: all four API token buckets logged with rate constants; cached and uncached regimes reported separately — sporadic kiosk traffic exceeds cache TTL, so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uncached is the honest regime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3.3  Integrity controls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Runs are reproducible from provenance blocks (eval SHA, commit, embedder, cutoff params, transport, timestamp). Transport is asserted native-TLS for latency-sensitive runs after a proxy-transport regression fabricated a spurious empty-citation case. Frozen files are verified with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content-aware diffs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(CRLF-normalized), never line-count equality — a rule adopted after a restore operation, mis-verified by insert/delete-count equality, destroyed three uncommitted gold corrections; the corruption was detected within one run by a hard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denominator assertion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(N = 34) and repaired from the committed grading record, with non-grading columns reconciled cell-by-cell against the labeler's authoritative copy and verified by per-column hash.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4  Embedding-Model Trade Study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Per-stage instrumentation attributed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86% of retrieval latency to query embedding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(535 ms p50 of 621 ms total on a workstation GPU) and revealed GPU-state instability (165→535 ms across sessions on the same hardware) — both critical for the deployment target, a Raspberry Pi CM4 with no GPU and ~4 GB RAM shared with the robot stack. We therefore ran a four-candidate trade study, entirely offline ($0 API):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17"/>
          <w:szCs w:val="17"/>
        </w:rPr>
        <w:t xml:space="preserve">Table 1. Candidates.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50"/>
        <w:gridCol w:w="3450"/>
        <w:gridCol w:w="900"/>
        <w:gridCol w:w="1200"/>
        <w:gridCol w:w="1600"/>
      </w:tblGrid>
      <w:tr>
        <w:trPr>
          <w:tblHeader/>
        </w:trPr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Candidate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Params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Est. RAM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 (baseline)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bge-large-en-v1.5 fp32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1024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335 M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~1,340 MB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all-MiniLM-L6-v2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384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22.7 M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~91 MB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bge-base-en-v1.5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768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109 M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~437 MB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bge-large-en-v1.5 int8 (dynamic)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1024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335 M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~400–500 MB</w:t>
            </w:r>
          </w:p>
        </w:tc>
      </w:tr>
    </w:tbl>
    <w:p>
      <w:pPr>
        <w:spacing w:after="6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Method.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Each candidate receives a full parallel build — chunk matrix, query embeddings, and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per-candidate centroid rebuild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(the dimensional model lives in embedding space; reusing baseline centroids across spaces would sandbag alternatives). The BM25 arm, RRF, soft-prior mechanics, and cutoff parameters are held fixed; only the dense space changes. Grading uses the identical scope-aware code path against the same gold. Production configuration is never modified; all artifacts are parallel-named. Int8 fidelity was verified by cosine similarity of quantized vs fp32 vectors (mean 1.0 on sample). Latency was benchmarked per candidate on GPU and CPU-forced (the CM4 proxy), with cold-first/warm-rest splits from a 20× repeated-query design.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Centroid-separation statistics were computed per model but are reported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only with a cross-model caveat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mean pairwise centroid cosine (bge-large 0.922 vs MiniLM 0.774) is not comparable across models because the bge family compresses cosine range; per-model percentile ranges are given as context, not as a head-to-head score. Three topics had zero members in the pilot subset and received neutral-fallback centroids (flagged).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5  Results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5.1  Baseline quality, latency, cost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17"/>
          <w:szCs w:val="17"/>
        </w:rPr>
        <w:t xml:space="preserve">Table 2. Baseline (pre-tuning) results on the frozen anchor.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350"/>
        <w:gridCol w:w="2600"/>
        <w:gridCol w:w="4250"/>
      </w:tblGrid>
      <w:tr>
        <w:trPr>
          <w:tblHeader/>
        </w:trPr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recall@5 / @1 (reachable, N=34)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 / 0.735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coverage miss (B9); 8 rank-2/3 near-misses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Fabricated citations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 / 40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across all runs, incl. under real billing failure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Empty-cited in-scope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native transport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Retrieval latency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621 ms p50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embed 535 ms (86%); BM25 71 ms; router 0.19 ms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TTFT / full compose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1.53 s / 10.4 s p50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full compose hidden under speech by streaming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Perceived onset (TTFA)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~2.5 s p50 (replay proxy)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[PENDING: live measurement, ~US$0.30]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Cost per answer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US$0.028 uncached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US$0.015 cached; sporadic kiosk traffic → uncached is honest</w:t>
            </w:r>
          </w:p>
        </w:tc>
      </w:tr>
    </w:tbl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5.2  Trade-study quality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17"/>
          <w:szCs w:val="17"/>
        </w:rPr>
        <w:t xml:space="preserve">Table 3. Quality (N=34, identical grading path, repaired v4 gold).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50"/>
        <w:gridCol w:w="1450"/>
        <w:gridCol w:w="1450"/>
        <w:gridCol w:w="2100"/>
        <w:gridCol w:w="1450"/>
        <w:gridCol w:w="1900"/>
      </w:tblGrid>
      <w:tr>
        <w:trPr>
          <w:tblHeader/>
        </w:trPr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Candidate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recall@1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recall@5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recall@chunks-sent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recall@10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Δ@chunks-sent vs A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  bge-large fp32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0.735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  MiniLM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0.559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0.853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0.912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−5.9 pts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  bge-base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0.618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0.882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0.941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−2.9 pts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  bge-large int8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0.735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0.971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</w:t>
            </w:r>
          </w:p>
        </w:tc>
      </w:tr>
    </w:tbl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Three findings.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(i) Quantization is quality-lossless here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D reproduces A's hits exactly (zero hit@5 differences; identical near-miss ranks).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(ii) recall@chunks-sent compresses the small-model gap 2–4×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relative to recall@5: MiniLM's apparent −11.8 pts becomes −5.9; bge-base's becomes −2.9 — because the adaptive cutoff sends a median of 9 chunks, and fixed-k@5 grades a depth the composer does not actually operate at. *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(iii) One document (query B9) is retrieved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only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by MiniLM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* (rank 5; absent from A's ranking entirely, rank 6 in C, rank 10 in D) — an embedding-family blind spot: all bge variants, including the lossless quantization, inherit it. This is diagnostic for fusion tuning rather than a model-selection driver.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5.3  Trade-study latency and footprint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595959"/>
          <w:sz w:val="17"/>
          <w:szCs w:val="17"/>
        </w:rPr>
        <w:t xml:space="preserve">Table 4. Latency and footprint. CPU-forced runs proxy the GPU-less CM4.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2600"/>
        <w:gridCol w:w="1900"/>
        <w:gridCol w:w="1900"/>
        <w:gridCol w:w="2300"/>
      </w:tblGrid>
      <w:tr>
        <w:trPr>
          <w:tblHeader/>
        </w:trPr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Candidate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CPU query p50 (CM4 proxy)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GPU warm p50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Cold-first (GPU)</w:t>
            </w:r>
          </w:p>
        </w:tc>
        <w:tc>
          <w:tcPr>
            <w:shd w:fill="1F3864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Vector store (8,887 chunks)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  fp32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859 ms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 ms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6,487 ms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36.4 MB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  MiniLM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44 ms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27 ms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(small)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13.7 MB</w:t>
            </w:r>
          </w:p>
        </w:tc>
      </w:tr>
      <w:tr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  bge-base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216 ms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(intermediate)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(intermediate)</w:t>
            </w:r>
          </w:p>
        </w:tc>
        <w:tc>
          <w:tcPr>
            <w:shd w:fill="FFFFFF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27.3 MB</w:t>
            </w:r>
          </w:p>
        </w:tc>
      </w:tr>
      <w:tr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  int8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781 ms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 (CPU-targeted)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shd w:fill="F0F0F0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36.4 MB</w:t>
            </w:r>
          </w:p>
        </w:tc>
      </w:tr>
    </w:tbl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ladder is decisive on the speed axis — B 44 ms, C 216 ms, D 781 ms, A 859 ms — and reveals the study's central surprise: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int8 quantization is a memory fix, not a speed fix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(≈10% CPU gain), so D fits the CM4's RAM but plausibly lands at 1.5–3 s/query on ARM, at the edge of the interaction budget. The 20× design also corroborated the GPU-state instability (cold-first 6.5 s vs 89 ms warm for A), confirming that a quiet kiosk operates predominantly in the cold regime. One-off index builds (D: 81.7 min CPU for 827 chunks) are host-side costs, not runtime costs.</w:t>
      </w:r>
    </w:p>
    <w:p>
      <w:pPr>
        <w:spacing w:after="80" w:before="19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5.4  Out-of-scope behavior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cosine-threshold scope gate proved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inert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out-of-scope probes score inside the in-scope similarity band (a weather query at 0.583 vs the lowest in-scope at 0.574), so no threshold separates them without false-declining genuine content. The working mechanism is a layered design — a loose gate retained as an orphan-fallback bias plus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question-keyed composer decline directive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verified to decline both probes while the three lowest-similarity in-scope queries answer normally. Verification breadth is the limitation: n=2 probes; expansion (including an adversarial probe) is queued. [PENDING: 3 in-scope re-verifications interrupted by a billing failure, ~US$0.10.]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6  Discussion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embedder is the deployment decision.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With 86% of retrieval latency in one component and a 20× CPU spread across candidates, embedding-model choice </w:t>
      </w: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is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 edge-vs-host topology choice: host-side retrieval keeps A's canonical quality; on-device favors C as the balanced fit (−2.9 pts at 216 ms/437 MB), with D viable if real ARM latency proves acceptable and B if latency dominates. A single Raspberry Pi 4 benchmark would settle D-vs-C; the trade study leaves that as the one open datum.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Fixed-k recall misleads adaptive-retrieval systems.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recall@chunks-sent changed the decision materially (a 2–4× gap compression); we suggest adaptive-cutoff RAG evaluations report at delivered depth as standard practice.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 soft prior preserved recall where a gate would not.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 dimensional model contributes topic control at ~6 ms with no hard-gate recall risk, and its reuse by the router removed all pre-composition LLM latency/cost. Its limits also showed: centroid cosine could not separate out-of-scope queries, pushing scope control to the composer layer.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Grounding held under adversity.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Zero fabrications across every run — including a run that degraded mid-flight on a real billing failure — supports the slim-payload + envelope design; the one apparent empty-citation case was traced to a proxy-transport artifact, not the pipeline.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Evaluation integrity is an engineering discipline.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 gold-corruption incident and its one-run detection argue for denominator assertions, content-aware frozen-file checks, provenance blocks, and artifact-over-memory audits as first-class RAG methodology, not housekeeping.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7  Limitations and Threats to Validity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Single corpus, single persona, single language (English); N = 34 recall-gradeable queries — adequate for engineering decisions, small for statistical claims; no significance testing is asserted.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CPU-forced desktop runs proxy the CM4; real ARM measurements are pending. RSS-based memory probes failed; RAM figures are parameter-based estimates, flagged as such.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TTFA is a replay proxy; live first-audio latency is unmeasured. Composer cost/latency telemetry derives from the directive-OFF configuration; directive-ON deltas pending.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Out-of-scope verification breadth is n = 2 probes. Six gold labels carry low confidence pending SME confirmation. The 95-document subset is theme-balanced, not corpus-representative (corpus ≈ 55% theme A) — chosen deliberately for per-theme eval power.</w:t>
      </w:r>
    </w:p>
    <w:p>
      <w:pPr>
        <w:pStyle w:val="ListParagraph"/>
        <w:numPr>
          <w:ilvl w:val="0"/>
          <w:numId w:val="2"/>
        </w:numPr>
        <w:spacing w:after="5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All results are the pre-tuning baseline; fusion-weight and composer-config sweeps (targeting the B9 blind spot and the rank-2/3 cluster) are future work.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8  Conclusion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hybrid-retrieval RAG kiosk with a centroid-based dimensional model achieves high grounded quality (recall@5 0.971 reachable; zero fabricated citations) at kiosk-viable cost (US$0.028/answer uncached) and perceived latency (~2.5 s onset), with a fully deterministic pre-composition path. The embedding trade study shows the quality/efficiency frontier is friendlier than fixed-k metrics suggest — bge-base concedes only 2.9 points at delivered depth for a 4× CPU speedup and a third of the memory — while int8 quantization, though perfectly quality-preserving, buys memory rather than speed. Model choice therefore resolves into deployment topology, with one ARM measurement outstanding. Future work: live TTFA, fusion tuning against the identified blind spot, OOS hardening, on-robot integration (Linux TTS, ASR seam), and human A/B persona evaluation.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Acknowledgments</w:t>
      </w:r>
    </w:p>
    <w:p>
      <w:pPr>
        <w:spacing w:after="11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[TBD — FLP support; corpus and gold-set labeling (Sheena); implementation (Pao); technical review (Dok). Note: the retired Chief Justice's estate/permissions statement required for publication.]</w:t>
      </w:r>
    </w:p>
    <w:p>
      <w:pP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5"/>
          <w:szCs w:val="25"/>
        </w:rPr>
        <w:t xml:space="preserve">References</w:t>
      </w:r>
    </w:p>
    <w:p>
      <w:pPr>
        <w:spacing w:after="40" w:line="268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[PLACEHOLDERS — to be completed for the target venue:] BM25 (Robertson &amp; Zaragoza); Reciprocal Rank Fusion (Cormack et al., 2009); BGE embeddings (Xiao et al., 2023); Sentence-BERT/MiniLM (Reimers &amp; Gurevych, 2019; Wang et al., 2020); RAG (Lewis et al., 2020); nucleus sampling (Holtzman et al., 2020); dynamic quantization (ONNX Runtime); MTEB benchmark (Muennighoff et al., 2022).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Data &amp; code availability: evaluation artifacts, provenance blocks, and the bake-off scripts are version-controlled in the project repository (commits d86e976–6412ab0); the corpus comprises copyrighted works used with the Foundation's authorization and is not publicly redistributable.</w:t>
      </w:r>
    </w:p>
    <w:sectPr>
      <w:pgSz w:w="12240" w:h="15840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9C6B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986e7565a1480e802a4f67e8a1128ba288e96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2026-07-16T08:18:39.350Z</dcterms:created>
  <dcterms:modified xsi:type="dcterms:W3CDTF">2026-07-16T08:18:39.351Z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