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Declaramos para os devidos fins, que o discente </w:t>
      </w:r>
      <w:r>
        <w:rPr>
          <w:b/>
          <w:bCs/>
        </w:rPr>
        <w:t>{{nome_discente}}</w:t>
      </w:r>
      <w:r>
        <w:rPr/>
        <w:t xml:space="preserve"> defendeu em {{data_</w:t>
      </w:r>
      <w:r>
        <w:rPr/>
        <w:t>hora}</w:t>
      </w:r>
      <w:r>
        <w:rPr/>
        <w:t>}, a defesa de dissertação de {{especializacao}} intitulada “{</w:t>
      </w:r>
      <w:r>
        <w:rPr>
          <w:b/>
          <w:bCs/>
        </w:rPr>
        <w:t>{titulo_trabalho}}</w:t>
      </w:r>
      <w:r>
        <w:rPr/>
        <w:t>”, área de {{area_trabalho}}. A Banca Examinadora foi composta pelos professores {{nome_orientador}}{% if nome_coorientador %}, {{nome_coorientador}} {% endif %}, {{examinadores_internos}}, {{examinadores_externos}}.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40</Words>
  <Characters>347</Characters>
  <CharactersWithSpaces>386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2026-06-15T18:48:27Z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