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9638"/>
      </w:tblGrid>
      <w:tr>
        <w:tc>
          <w:tcPr>
            <w:tcW w:type="dxa" w:w="9638"/>
            <w:shd w:fill="000000" w:color="auto" w:val="clear"/>
            <w:tcMar>
              <w:top w:type="dxa" w:w="300"/>
              <w:left w:type="dxa" w:w="300"/>
              <w:bottom w:type="dxa" w:w="300"/>
              <w:right w:type="dxa" w:w="300"/>
            </w:tcMar>
            <w:vAlign w:val="center"/>
          </w:tcPr>
          <w:p>
            <w:pPr>
              <w:spacing w:after="0"/>
            </w:pPr>
            <w:r>
              <w:drawing>
                <wp:inline distT="0" distB="0" distL="0" distR="0">
                  <wp:extent cx="19050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657225"/>
                          </a:xfrm>
                          <a:prstGeom prst="rect">
                            <a:avLst/>
                          </a:prstGeom>
                        </pic:spPr>
                      </pic:pic>
                    </a:graphicData>
                  </a:graphic>
                </wp:inline>
              </w:drawing>
            </w:r>
          </w:p>
        </w:tc>
      </w:tr>
    </w:tbl>
    <w:p>
      <w:pPr>
        <w:spacing w:after="320"/>
      </w:pPr>
    </w:p>
    <w:tbl>
      <w:tblPr>
        <w:tblW w:type="dxa" w:w="760"/>
        <w:tblBorders>
          <w:top w:val="none"/>
          <w:left w:val="none"/>
          <w:bottom w:val="none"/>
          <w:right w:val="none"/>
          <w:insideH w:val="none"/>
          <w:insideV w:val="none"/>
        </w:tblBorders>
      </w:tblPr>
      <w:tblGrid>
        <w:gridCol w:w="760"/>
      </w:tblGrid>
      <w:tr>
        <w:trPr>
          <w:trHeight w:val="150" w:hRule="exact"/>
        </w:trPr>
        <w:tc>
          <w:tcPr>
            <w:tcW w:type="dxa" w:w="760"/>
            <w:shd w:fill="FF7900" w:color="auto" w:val="clear"/>
            <w:tcMar>
              <w:top w:type="dxa" w:w="0"/>
              <w:left w:type="dxa" w:w="0"/>
              <w:bottom w:type="dxa" w:w="0"/>
              <w:right w:type="dxa" w:w="0"/>
            </w:tcMar>
          </w:tcPr>
          <w:p>
            <w:pPr>
              <w:spacing w:after="0"/>
            </w:pPr>
          </w:p>
        </w:tc>
      </w:tr>
    </w:tbl>
    <w:p>
      <w:pPr>
        <w:spacing w:after="180"/>
      </w:pPr>
    </w:p>
    <w:p>
      <w:pPr>
        <w:spacing w:after="120"/>
      </w:pPr>
      <w:r>
        <w:rPr>
          <w:rFonts w:ascii="Arial" w:cs="Arial" w:eastAsia="Arial" w:hAnsi="Arial"/>
          <w:b/>
          <w:bCs/>
          <w:color w:val="FF7900"/>
          <w:spacing w:val="30"/>
          <w:sz w:val="16"/>
          <w:szCs w:val="16"/>
        </w:rPr>
        <w:t xml:space="preserve">PARCOURS D’INTÉGRATION</w:t>
      </w:r>
    </w:p>
    <w:p>
      <w:pPr>
        <w:spacing w:after="140" w:before="0"/>
      </w:pPr>
      <w:r>
        <w:rPr>
          <w:rFonts w:ascii="Arial" w:cs="Arial" w:eastAsia="Arial" w:hAnsi="Arial"/>
          <w:b/>
          <w:bCs/>
          <w:color w:val="000000"/>
          <w:sz w:val="44"/>
          <w:szCs w:val="44"/>
        </w:rPr>
        <w:t xml:space="preserve">Du PKI au ReBAC</w:t>
      </w:r>
    </w:p>
    <w:p>
      <w:pPr>
        <w:spacing w:after="260" w:line="300"/>
      </w:pPr>
      <w:r>
        <w:rPr>
          <w:rFonts w:ascii="Arial" w:cs="Arial" w:eastAsia="Arial" w:hAnsi="Arial"/>
          <w:color w:val="666666"/>
          <w:sz w:val="21"/>
          <w:szCs w:val="21"/>
        </w:rPr>
        <w:t xml:space="preserve">Parcours de spécialisation — Terraform, workload identity et ReBAC, intégralement en open source</w:t>
      </w:r>
    </w:p>
    <w:tbl>
      <w:tblPr>
        <w:tblW w:type="dxa" w:w="9638"/>
        <w:tblBorders>
          <w:top w:val="none"/>
          <w:left w:val="single" w:color="FF7900" w:sz="24"/>
          <w:bottom w:val="none"/>
          <w:right w:val="none"/>
          <w:insideH w:val="none"/>
          <w:insideV w:val="none"/>
        </w:tblBorders>
      </w:tblPr>
      <w:tblGrid>
        <w:gridCol w:w="9638"/>
      </w:tblGrid>
      <w:tr>
        <w:tc>
          <w:tcPr>
            <w:tcW w:type="dxa" w:w="9638"/>
            <w:shd w:fill="F6F6F6" w:color="auto" w:val="clear"/>
            <w:tcMar>
              <w:top w:type="dxa" w:w="150"/>
              <w:left w:type="dxa" w:w="220"/>
              <w:bottom w:type="dxa" w:w="150"/>
              <w:right w:type="dxa" w:w="220"/>
            </w:tcMar>
          </w:tcPr>
          <w:p>
            <w:pPr>
              <w:spacing w:after="0" w:line="264"/>
            </w:pPr>
            <w:r>
              <w:rPr>
                <w:rFonts w:ascii="Arial" w:cs="Arial" w:eastAsia="Arial" w:hAnsi="Arial"/>
                <w:i w:val="false"/>
                <w:iCs w:val="false"/>
                <w:color w:val="333333"/>
                <w:sz w:val="19"/>
                <w:szCs w:val="19"/>
              </w:rPr>
              <w:t xml:space="preserve">Bienvenue. Ce parcours de 10 semaines a été construit </w:t>
            </w:r>
            <w:r>
              <w:rPr>
                <w:rFonts w:ascii="Arial" w:cs="Arial" w:eastAsia="Arial" w:hAnsi="Arial"/>
                <w:b/>
                <w:bCs/>
                <w:color w:val="000000"/>
                <w:sz w:val="19"/>
                <w:szCs w:val="19"/>
              </w:rPr>
              <w:t xml:space="preserve">spécifiquement à partir de votre profil</w:t>
            </w:r>
            <w:r>
              <w:rPr>
                <w:rFonts w:ascii="Arial" w:cs="Arial" w:eastAsia="Arial" w:hAnsi="Arial"/>
                <w:i w:val="false"/>
                <w:iCs w:val="false"/>
                <w:color w:val="333333"/>
                <w:sz w:val="19"/>
                <w:szCs w:val="19"/>
              </w:rPr>
              <w:t xml:space="preserve">, et non sur un catalogue standard. Il s’appuie délibérément sur votre expertise PKI, OIDC et Keycloak comme point d’accroche : sur deux des trois sujets, vous ne partez pas de zéro mais d’une transposition. Tout se déroule sur un lab interne — aucun compte cloud, aucune licence, aucune ressource payante.</w:t>
            </w:r>
          </w:p>
        </w:tc>
      </w:tr>
    </w:tbl>
    <w:p>
      <w:pPr>
        <w:spacing w:after="220"/>
      </w:pPr>
    </w:p>
    <w:tbl>
      <w:tblPr>
        <w:tblW w:type="dxa" w:w="9638"/>
        <w:tblBorders>
          <w:top w:val="none"/>
          <w:left w:val="none"/>
          <w:bottom w:val="single" w:color="FF7900" w:sz="8"/>
          <w:right w:val="none"/>
          <w:insideH w:val="single" w:color="CCCCCC" w:sz="2"/>
          <w:insideV w:val="none"/>
        </w:tblBorders>
      </w:tblPr>
      <w:tblGrid>
        <w:gridCol w:w="1800"/>
        <w:gridCol w:w="3000"/>
        <w:gridCol w:w="1200"/>
        <w:gridCol w:w="3638"/>
      </w:tblGrid>
      <w:tr>
        <w:trPr>
          <w:tblHeader/>
        </w:trPr>
        <w:tc>
          <w:tcPr>
            <w:tcW w:type="dxa" w:w="18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DURÉE</w:t>
            </w:r>
          </w:p>
        </w:tc>
        <w:tc>
          <w:tcPr>
            <w:tcW w:type="dxa" w:w="30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CHARGE INDICATIVE</w:t>
            </w:r>
          </w:p>
        </w:tc>
        <w:tc>
          <w:tcPr>
            <w:tcW w:type="dxa" w:w="12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COÛT</w:t>
            </w:r>
          </w:p>
        </w:tc>
        <w:tc>
          <w:tcPr>
            <w:tcW w:type="dxa" w:w="3638"/>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ENVIRONNEMENT</w:t>
            </w:r>
          </w:p>
        </w:tc>
      </w:tr>
      <w:tr>
        <w:tc>
          <w:tcPr>
            <w:tcW w:type="dxa" w:w="18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10 semaines</w:t>
            </w:r>
          </w:p>
        </w:tc>
        <w:tc>
          <w:tcPr>
            <w:tcW w:type="dxa" w:w="30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1 journée par semaine (≈ 70 h)</w:t>
            </w:r>
          </w:p>
        </w:tc>
        <w:tc>
          <w:tcPr>
            <w:tcW w:type="dxa" w:w="12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0 €</w:t>
            </w:r>
          </w:p>
        </w:tc>
        <w:tc>
          <w:tcPr>
            <w:tcW w:type="dxa" w:w="36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Lab local auto-hébergé</w:t>
            </w:r>
          </w:p>
        </w:tc>
      </w:tr>
    </w:tbl>
    <w:p>
      <w:pPr>
        <w:pStyle w:val="Heading1"/>
        <w:pBdr>
          <w:bottom w:val="single" w:color="FF7900" w:sz="12" w:space="8"/>
        </w:pBdr>
        <w:spacing w:after="170" w:before="420"/>
      </w:pPr>
      <w:r>
        <w:rPr>
          <w:rFonts w:ascii="Arial" w:cs="Arial" w:eastAsia="Arial" w:hAnsi="Arial"/>
          <w:b/>
          <w:bCs/>
          <w:color w:val="000000"/>
          <w:sz w:val="28"/>
          <w:szCs w:val="28"/>
        </w:rPr>
        <w:t xml:space="preserve">1. Ce sur quoi le parcours s’appuie</w:t>
      </w:r>
    </w:p>
    <w:p>
      <w:pPr>
        <w:spacing w:after="140" w:before="0" w:line="276"/>
      </w:pPr>
      <w:r>
        <w:rPr>
          <w:rFonts w:ascii="Arial" w:cs="Arial" w:eastAsia="Arial" w:hAnsi="Arial"/>
          <w:i w:val="false"/>
          <w:iCs w:val="false"/>
          <w:color w:val="333333"/>
          <w:sz w:val="20"/>
          <w:szCs w:val="20"/>
        </w:rPr>
        <w:t xml:space="preserve">Le programme est conçu pour exploiter vos acquis comme raccourcis plutôt que pour reprendre des fondamentaux que vous maîtrisez déjà. Le temps a été réparti en conséquence : plus long là où le changement de paradigme est réel, volontairement court là où il ne s’agit que de transposer.</w:t>
      </w:r>
    </w:p>
    <w:p>
      <w:pPr>
        <w:spacing w:after="100"/>
      </w:pPr>
    </w:p>
    <w:tbl>
      <w:tblPr>
        <w:tblW w:type="dxa" w:w="9638"/>
        <w:tblBorders>
          <w:top w:val="none"/>
          <w:left w:val="none"/>
          <w:bottom w:val="single" w:color="FF7900" w:sz="8"/>
          <w:right w:val="none"/>
          <w:insideH w:val="single" w:color="CCCCCC" w:sz="2"/>
          <w:insideV w:val="none"/>
        </w:tblBorders>
      </w:tblPr>
      <w:tblGrid>
        <w:gridCol w:w="1600"/>
        <w:gridCol w:w="2400"/>
        <w:gridCol w:w="4038"/>
        <w:gridCol w:w="1600"/>
      </w:tblGrid>
      <w:tr>
        <w:trPr>
          <w:tblHeader/>
        </w:trPr>
        <w:tc>
          <w:tcPr>
            <w:tcW w:type="dxa" w:w="16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SUJET</w:t>
            </w:r>
          </w:p>
        </w:tc>
        <w:tc>
          <w:tcPr>
            <w:tcW w:type="dxa" w:w="24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POINT D’APPUI DANS VOTRE PARCOURS</w:t>
            </w:r>
          </w:p>
        </w:tc>
        <w:tc>
          <w:tcPr>
            <w:tcW w:type="dxa" w:w="4038"/>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NATURE DE L’APPRENTISSAGE</w:t>
            </w:r>
          </w:p>
        </w:tc>
        <w:tc>
          <w:tcPr>
            <w:tcW w:type="dxa" w:w="16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DURÉE</w:t>
            </w:r>
          </w:p>
        </w:tc>
      </w:tr>
      <w:tr>
        <w:tc>
          <w:tcPr>
            <w:tcW w:type="dxa" w:w="16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Terraform</w:t>
            </w:r>
          </w:p>
        </w:tc>
        <w:tc>
          <w:tcPr>
            <w:tcW w:type="dxa" w:w="24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Ansible, Jenkins, Git, culture IaC déjà installée</w:t>
            </w:r>
          </w:p>
        </w:tc>
        <w:tc>
          <w:tcPr>
            <w:tcW w:type="dxa" w:w="40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Changement d’outil. Le passage du procédural au déclaratif — le state, le graphe de dépendances, plan/apply.</w:t>
            </w:r>
          </w:p>
        </w:tc>
        <w:tc>
          <w:tcPr>
            <w:tcW w:type="dxa" w:w="16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3 sem.</w:t>
            </w:r>
          </w:p>
        </w:tc>
      </w:tr>
      <w:tr>
        <w:tc>
          <w:tcPr>
            <w:tcW w:type="dxa" w:w="16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Workload identity</w:t>
            </w:r>
          </w:p>
        </w:tc>
        <w:tc>
          <w:tcPr>
            <w:tcW w:type="dxa" w:w="24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OIDC en production, JWT, claims, PKI, fédération de confiance, HSM</w:t>
            </w:r>
          </w:p>
        </w:tc>
        <w:tc>
          <w:tcPr>
            <w:tcW w:type="dxa" w:w="4038"/>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Transposition. Le workload identity est de la fédération OIDC doublée d’une attestation cryptographique : le raisonnement vous est familier, l’outillage est nouveau.</w:t>
            </w:r>
          </w:p>
        </w:tc>
        <w:tc>
          <w:tcPr>
            <w:tcW w:type="dxa" w:w="16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3 sem.</w:t>
            </w:r>
          </w:p>
        </w:tc>
      </w:tr>
      <w:tr>
        <w:tc>
          <w:tcPr>
            <w:tcW w:type="dxa" w:w="16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ReBAC</w:t>
            </w:r>
          </w:p>
        </w:tc>
        <w:tc>
          <w:tcPr>
            <w:tcW w:type="dxa" w:w="24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RBAC Keycloak, realms, rôles, scopes, groupes</w:t>
            </w:r>
          </w:p>
        </w:tc>
        <w:tc>
          <w:tcPr>
            <w:tcW w:type="dxa" w:w="40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Nouveau paradigme. On ne demande plus « quel rôle a cet utilisateur » mais « existe-t-il un chemin dans le graphe entre ce sujet et cet objet ». C’est la phase la plus longue, et c’est volontaire.</w:t>
            </w:r>
          </w:p>
        </w:tc>
        <w:tc>
          <w:tcPr>
            <w:tcW w:type="dxa" w:w="16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4 sem.</w:t>
            </w:r>
          </w:p>
        </w:tc>
      </w:tr>
    </w:tbl>
    <w:p>
      <w:pPr>
        <w:pStyle w:val="Heading1"/>
        <w:pBdr>
          <w:bottom w:val="single" w:color="FF7900" w:sz="12" w:space="8"/>
        </w:pBdr>
        <w:spacing w:after="170" w:before="420"/>
      </w:pPr>
      <w:r>
        <w:rPr>
          <w:rFonts w:ascii="Arial" w:cs="Arial" w:eastAsia="Arial" w:hAnsi="Arial"/>
          <w:b/>
          <w:bCs/>
          <w:color w:val="000000"/>
          <w:sz w:val="28"/>
          <w:szCs w:val="28"/>
        </w:rPr>
        <w:t xml:space="preserve">Le socle de lab</w:t>
      </w:r>
    </w:p>
    <w:p>
      <w:pPr>
        <w:spacing w:after="140" w:before="0" w:line="276"/>
      </w:pPr>
      <w:r>
        <w:rPr>
          <w:rFonts w:ascii="Arial" w:cs="Arial" w:eastAsia="Arial" w:hAnsi="Arial"/>
          <w:i w:val="false"/>
          <w:iCs w:val="false"/>
          <w:color w:val="333333"/>
          <w:sz w:val="20"/>
          <w:szCs w:val="20"/>
        </w:rPr>
        <w:t xml:space="preserve">Une seule pile technique, montée en semaine 1 et réutilisée jusqu’à la fin du parcours. Tout tourne en local — poste de travail ou VM interne. Aucun compte externe n’est nécessaire, et l’ensemble reste démontrable chez un client soucieux de souveraineté.</w:t>
      </w:r>
    </w:p>
    <w:p>
      <w:pPr>
        <w:spacing w:after="100"/>
      </w:pPr>
    </w:p>
    <w:tbl>
      <w:tblPr>
        <w:tblW w:type="dxa" w:w="9638"/>
        <w:tblBorders>
          <w:top w:val="none"/>
          <w:left w:val="none"/>
          <w:bottom w:val="single" w:color="FF7900" w:sz="8"/>
          <w:right w:val="none"/>
          <w:insideH w:val="single" w:color="CCCCCC" w:sz="2"/>
          <w:insideV w:val="none"/>
        </w:tblBorders>
      </w:tblPr>
      <w:tblGrid>
        <w:gridCol w:w="2600"/>
        <w:gridCol w:w="7038"/>
      </w:tblGrid>
      <w:tr>
        <w:trPr>
          <w:tblHeader/>
        </w:trPr>
        <w:tc>
          <w:tcPr>
            <w:tcW w:type="dxa" w:w="26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COMPOSANT</w:t>
            </w:r>
          </w:p>
        </w:tc>
        <w:tc>
          <w:tcPr>
            <w:tcW w:type="dxa" w:w="7038"/>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RÔLE DANS LE PARCOURS</w:t>
            </w:r>
          </w:p>
        </w:tc>
      </w:tr>
      <w:tr>
        <w:tc>
          <w:tcPr>
            <w:tcW w:type="dxa" w:w="26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k3s / kind</w:t>
            </w:r>
          </w:p>
        </w:tc>
        <w:tc>
          <w:tcPr>
            <w:tcW w:type="dxa" w:w="70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Le cluster Kubernetes support. Émetteur OIDC intégré, base de la phase 2.</w:t>
            </w:r>
          </w:p>
        </w:tc>
      </w:tr>
      <w:tr>
        <w:tc>
          <w:tcPr>
            <w:tcW w:type="dxa" w:w="26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Keycloak</w:t>
            </w:r>
          </w:p>
        </w:tc>
        <w:tc>
          <w:tcPr>
            <w:tcW w:type="dxa" w:w="7038"/>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Fournisseur d’identité et point de Token Exchange. Terrain connu — valorisé, pas contourné.</w:t>
            </w:r>
          </w:p>
        </w:tc>
      </w:tr>
      <w:tr>
        <w:tc>
          <w:tcPr>
            <w:tcW w:type="dxa" w:w="26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SPIRE</w:t>
            </w:r>
          </w:p>
        </w:tc>
        <w:tc>
          <w:tcPr>
            <w:tcW w:type="dxa" w:w="70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Attestation de charges de travail, SVID X.509. Le cœur de la phase 2.</w:t>
            </w:r>
          </w:p>
        </w:tc>
      </w:tr>
      <w:tr>
        <w:tc>
          <w:tcPr>
            <w:tcW w:type="dxa" w:w="26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OpenBao / Vault</w:t>
            </w:r>
          </w:p>
        </w:tc>
        <w:tc>
          <w:tcPr>
            <w:tcW w:type="dxa" w:w="7038"/>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Secrets dynamiques par authentification Kubernetes. Démontre le « zéro secret statique ».</w:t>
            </w:r>
          </w:p>
        </w:tc>
      </w:tr>
      <w:tr>
        <w:tc>
          <w:tcPr>
            <w:tcW w:type="dxa" w:w="26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MinIO</w:t>
            </w:r>
          </w:p>
        </w:tc>
        <w:tc>
          <w:tcPr>
            <w:tcW w:type="dxa" w:w="70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Service compatible S3, accepte les jetons d’identité fédérés. Cible du lab final de phase 2.</w:t>
            </w:r>
          </w:p>
        </w:tc>
      </w:tr>
      <w:tr>
        <w:tc>
          <w:tcPr>
            <w:tcW w:type="dxa" w:w="26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OpenFGA</w:t>
            </w:r>
          </w:p>
        </w:tc>
        <w:tc>
          <w:tcPr>
            <w:tcW w:type="dxa" w:w="7038"/>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Moteur ReBAC, en conteneur local. Le cœur de la phase 3.</w:t>
            </w:r>
          </w:p>
        </w:tc>
      </w:tr>
      <w:tr>
        <w:tc>
          <w:tcPr>
            <w:tcW w:type="dxa" w:w="26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OpenTofu / Terraform</w:t>
            </w:r>
          </w:p>
        </w:tc>
        <w:tc>
          <w:tcPr>
            <w:tcW w:type="dxa" w:w="70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L’outil qui décrit toute la pile ci-dessus, dès la phase 1.</w:t>
            </w:r>
          </w:p>
        </w:tc>
      </w:tr>
      <w:tr>
        <w:tc>
          <w:tcPr>
            <w:tcW w:type="dxa" w:w="26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Proxmox / OpenStack</w:t>
            </w:r>
          </w:p>
        </w:tc>
        <w:tc>
          <w:tcPr>
            <w:tcW w:type="dxa" w:w="7038"/>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Optionnel — l’infrastructure d’accueil si le lab est monté sur les moyens internes.</w:t>
            </w:r>
          </w:p>
        </w:tc>
      </w:tr>
    </w:tbl>
    <w:p>
      <w:pPr>
        <w:pStyle w:val="Heading1"/>
        <w:pBdr>
          <w:bottom w:val="single" w:color="FF7900" w:sz="12" w:space="8"/>
        </w:pBdr>
        <w:spacing w:after="170" w:before="420"/>
      </w:pPr>
      <w:r>
        <w:rPr>
          <w:rFonts w:ascii="Arial" w:cs="Arial" w:eastAsia="Arial" w:hAnsi="Arial"/>
          <w:b/>
          <w:bCs/>
          <w:color w:val="000000"/>
          <w:sz w:val="28"/>
          <w:szCs w:val="28"/>
        </w:rPr>
        <w:t xml:space="preserve">2. Séquencement</w:t>
      </w:r>
    </w:p>
    <w:p>
      <w:pPr>
        <w:spacing w:after="140" w:before="0" w:line="276"/>
      </w:pPr>
      <w:r>
        <w:rPr>
          <w:rFonts w:ascii="Arial" w:cs="Arial" w:eastAsia="Arial" w:hAnsi="Arial"/>
          <w:i w:val="false"/>
          <w:iCs w:val="false"/>
          <w:color w:val="333333"/>
          <w:sz w:val="20"/>
          <w:szCs w:val="20"/>
        </w:rPr>
        <w:t xml:space="preserve">L’ordre suit des dépendances techniques réelles. Terraform d’abord, parce qu’il devient l’outil avec lequel se construit tout le lab des phases suivantes. Workload identity ensuite, parce qu’il s’appuie sur le cluster et sur Keycloak provisionnés en phase 1. ReBAC en dernier et sur la durée la plus longue.</w:t>
      </w:r>
    </w:p>
    <w:p>
      <w:pPr>
        <w:spacing w:after="100"/>
      </w:pPr>
    </w:p>
    <w:tbl>
      <w:tblPr>
        <w:tblW w:type="dxa" w:w="9638"/>
        <w:tblBorders>
          <w:top w:val="none"/>
          <w:left w:val="none"/>
          <w:bottom w:val="single" w:color="FF7900" w:sz="8"/>
          <w:right w:val="none"/>
          <w:insideH w:val="single" w:color="CCCCCC" w:sz="2"/>
          <w:insideV w:val="none"/>
        </w:tblBorders>
      </w:tblPr>
      <w:tblGrid>
        <w:gridCol w:w="1400"/>
        <w:gridCol w:w="1600"/>
        <w:gridCol w:w="1400"/>
        <w:gridCol w:w="5238"/>
      </w:tblGrid>
      <w:tr>
        <w:trPr>
          <w:tblHeader/>
        </w:trPr>
        <w:tc>
          <w:tcPr>
            <w:tcW w:type="dxa" w:w="14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PHASE</w:t>
            </w:r>
          </w:p>
        </w:tc>
        <w:tc>
          <w:tcPr>
            <w:tcW w:type="dxa" w:w="16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SEMAINES</w:t>
            </w:r>
          </w:p>
        </w:tc>
        <w:tc>
          <w:tcPr>
            <w:tcW w:type="dxa" w:w="14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CHARGE</w:t>
            </w:r>
          </w:p>
        </w:tc>
        <w:tc>
          <w:tcPr>
            <w:tcW w:type="dxa" w:w="5238"/>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SUJET</w:t>
            </w:r>
          </w:p>
        </w:tc>
      </w:tr>
      <w:tr>
        <w:tc>
          <w:tcPr>
            <w:tcW w:type="dxa" w:w="14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Phase 1</w:t>
            </w:r>
          </w:p>
        </w:tc>
        <w:tc>
          <w:tcPr>
            <w:tcW w:type="dxa" w:w="16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S1 – S3</w:t>
            </w:r>
          </w:p>
        </w:tc>
        <w:tc>
          <w:tcPr>
            <w:tcW w:type="dxa" w:w="14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 21 h</w:t>
            </w:r>
          </w:p>
        </w:tc>
        <w:tc>
          <w:tcPr>
            <w:tcW w:type="dxa" w:w="52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Terraform</w:t>
            </w:r>
          </w:p>
        </w:tc>
      </w:tr>
      <w:tr>
        <w:tc>
          <w:tcPr>
            <w:tcW w:type="dxa" w:w="14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Phase 2</w:t>
            </w:r>
          </w:p>
        </w:tc>
        <w:tc>
          <w:tcPr>
            <w:tcW w:type="dxa" w:w="16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S4 – S6</w:t>
            </w:r>
          </w:p>
        </w:tc>
        <w:tc>
          <w:tcPr>
            <w:tcW w:type="dxa" w:w="14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 21 h</w:t>
            </w:r>
          </w:p>
        </w:tc>
        <w:tc>
          <w:tcPr>
            <w:tcW w:type="dxa" w:w="5238"/>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Workload identity</w:t>
            </w:r>
          </w:p>
        </w:tc>
      </w:tr>
      <w:tr>
        <w:tc>
          <w:tcPr>
            <w:tcW w:type="dxa" w:w="14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Phase 3</w:t>
            </w:r>
          </w:p>
        </w:tc>
        <w:tc>
          <w:tcPr>
            <w:tcW w:type="dxa" w:w="16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S7 – S10</w:t>
            </w:r>
          </w:p>
        </w:tc>
        <w:tc>
          <w:tcPr>
            <w:tcW w:type="dxa" w:w="14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 28 h</w:t>
            </w:r>
          </w:p>
        </w:tc>
        <w:tc>
          <w:tcPr>
            <w:tcW w:type="dxa" w:w="52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ReBAC</w:t>
            </w:r>
          </w:p>
        </w:tc>
      </w:tr>
    </w:tbl>
    <w:p>
      <w:pPr>
        <w:pStyle w:val="Heading1"/>
        <w:pBdr>
          <w:bottom w:val="single" w:color="FF7900" w:sz="12" w:space="8"/>
        </w:pBdr>
        <w:spacing w:after="170" w:before="420"/>
      </w:pPr>
      <w:r>
        <w:rPr>
          <w:rFonts w:ascii="Arial" w:cs="Arial" w:eastAsia="Arial" w:hAnsi="Arial"/>
          <w:b/>
          <w:bCs/>
          <w:color w:val="000000"/>
          <w:sz w:val="28"/>
          <w:szCs w:val="28"/>
        </w:rPr>
        <w:t xml:space="preserve">3. Le programme, phase par phase</w:t>
      </w:r>
    </w:p>
    <w:p>
      <w:pPr>
        <w:spacing w:after="50" w:before="420"/>
      </w:pPr>
      <w:r>
        <w:rPr>
          <w:rFonts w:ascii="Arial" w:cs="Arial" w:eastAsia="Arial" w:hAnsi="Arial"/>
          <w:b/>
          <w:bCs/>
          <w:color w:val="FF7900"/>
          <w:spacing w:val="24"/>
          <w:sz w:val="16"/>
          <w:szCs w:val="16"/>
        </w:rPr>
        <w:t xml:space="preserve">PHASE 1   </w:t>
      </w:r>
      <w:r>
        <w:rPr>
          <w:rFonts w:ascii="Arial" w:cs="Arial" w:eastAsia="Arial" w:hAnsi="Arial"/>
          <w:color w:val="666666"/>
          <w:spacing w:val="24"/>
          <w:sz w:val="16"/>
          <w:szCs w:val="16"/>
        </w:rPr>
        <w:t xml:space="preserve">Semaines 1 à 3   ·   environ 21 h</w:t>
      </w:r>
    </w:p>
    <w:p>
      <w:pPr>
        <w:spacing w:after="160"/>
      </w:pPr>
      <w:r>
        <w:rPr>
          <w:rFonts w:ascii="Arial" w:cs="Arial" w:eastAsia="Arial" w:hAnsi="Arial"/>
          <w:b/>
          <w:bCs/>
          <w:color w:val="000000"/>
          <w:sz w:val="26"/>
          <w:szCs w:val="26"/>
        </w:rPr>
        <w:t xml:space="preserve">Terraform</w:t>
      </w:r>
    </w:p>
    <w:tbl>
      <w:tblPr>
        <w:tblW w:type="dxa" w:w="9638"/>
        <w:tblBorders>
          <w:top w:val="none"/>
          <w:left w:val="single" w:color="FF7900" w:sz="24"/>
          <w:bottom w:val="none"/>
          <w:right w:val="none"/>
          <w:insideH w:val="none"/>
          <w:insideV w:val="none"/>
        </w:tblBorders>
      </w:tblPr>
      <w:tblGrid>
        <w:gridCol w:w="9638"/>
      </w:tblGrid>
      <w:tr>
        <w:tc>
          <w:tcPr>
            <w:tcW w:type="dxa" w:w="9638"/>
            <w:shd w:fill="F6F6F6" w:color="auto" w:val="clear"/>
            <w:tcMar>
              <w:top w:type="dxa" w:w="150"/>
              <w:left w:type="dxa" w:w="220"/>
              <w:bottom w:type="dxa" w:w="150"/>
              <w:right w:type="dxa" w:w="220"/>
            </w:tcMar>
          </w:tcPr>
          <w:p>
            <w:pPr>
              <w:spacing w:after="0" w:line="264"/>
            </w:pPr>
            <w:r>
              <w:rPr>
                <w:rFonts w:ascii="Arial" w:cs="Arial" w:eastAsia="Arial" w:hAnsi="Arial"/>
                <w:b/>
                <w:bCs/>
                <w:color w:val="000000"/>
                <w:sz w:val="19"/>
                <w:szCs w:val="19"/>
              </w:rPr>
              <w:t xml:space="preserve">Le vrai obstacle n’est pas la syntaxe.</w:t>
            </w:r>
            <w:r>
              <w:rPr>
                <w:rFonts w:ascii="Arial" w:cs="Arial" w:eastAsia="Arial" w:hAnsi="Arial"/>
                <w:i w:val="false"/>
                <w:iCs w:val="false"/>
                <w:color w:val="333333"/>
                <w:sz w:val="19"/>
                <w:szCs w:val="19"/>
              </w:rPr>
              <w:t xml:space="preserve"> Avec une pratique Ansible confirmée, HCL s’acquiert en deux jours. Le point qui demande un vrai effort, c’est le </w:t>
            </w:r>
            <w:r>
              <w:rPr>
                <w:rFonts w:ascii="Arial" w:cs="Arial" w:eastAsia="Arial" w:hAnsi="Arial"/>
                <w:b/>
                <w:bCs/>
                <w:color w:val="000000"/>
                <w:sz w:val="19"/>
                <w:szCs w:val="19"/>
              </w:rPr>
              <w:t xml:space="preserve">state</w:t>
            </w:r>
            <w:r>
              <w:rPr>
                <w:rFonts w:ascii="Arial" w:cs="Arial" w:eastAsia="Arial" w:hAnsi="Arial"/>
                <w:i w:val="false"/>
                <w:iCs w:val="false"/>
                <w:color w:val="333333"/>
                <w:sz w:val="19"/>
                <w:szCs w:val="19"/>
              </w:rPr>
              <w:t xml:space="preserve"> : l’outil détient une représentation du réel et calcule un différentiel. C’est le passage du procédural au déclaratif — à attaquer frontalement dès la semaine 1.</w:t>
            </w:r>
          </w:p>
        </w:tc>
      </w:tr>
    </w:tbl>
    <w:p>
      <w:pPr>
        <w:spacing w:after="100"/>
      </w:pPr>
    </w:p>
    <w:p>
      <w:pPr>
        <w:spacing w:after="100" w:before="250"/>
      </w:pPr>
      <w:r>
        <w:rPr>
          <w:rFonts w:ascii="Arial" w:cs="Arial" w:eastAsia="Arial" w:hAnsi="Arial"/>
          <w:b/>
          <w:bCs/>
          <w:color w:val="FF7900"/>
          <w:spacing w:val="24"/>
          <w:sz w:val="16"/>
          <w:szCs w:val="16"/>
        </w:rPr>
        <w:t xml:space="preserve">PROGRESSION</w:t>
      </w:r>
    </w:p>
    <w:p>
      <w:pPr>
        <w:pStyle w:val="ListParagraph"/>
        <w:numPr>
          <w:ilvl w:val="0"/>
          <w:numId w:val="2"/>
        </w:numPr>
        <w:spacing w:after="110" w:line="276"/>
      </w:pPr>
      <w:r>
        <w:rPr>
          <w:rFonts w:ascii="Arial" w:cs="Arial" w:eastAsia="Arial" w:hAnsi="Arial"/>
          <w:b/>
          <w:bCs/>
          <w:color w:val="000000"/>
          <w:sz w:val="20"/>
          <w:szCs w:val="20"/>
        </w:rPr>
        <w:t xml:space="preserve">Semaine 1 — fondamentaux et state.</w:t>
      </w:r>
      <w:r>
        <w:rPr>
          <w:rFonts w:ascii="Arial" w:cs="Arial" w:eastAsia="Arial" w:hAnsi="Arial"/>
          <w:i w:val="false"/>
          <w:iCs w:val="false"/>
          <w:color w:val="333333"/>
          <w:sz w:val="20"/>
          <w:szCs w:val="20"/>
        </w:rPr>
        <w:t xml:space="preserve"> HCL, providers, resources, variables, outputs. init / plan / apply / destroy. Le state : fichier local, drift, terraform import, backend distant et verrouillage. Labs sur le provider </w:t>
      </w:r>
      <w:r>
        <w:rPr>
          <w:rFonts w:ascii="Arial" w:cs="Arial" w:eastAsia="Arial" w:hAnsi="Arial"/>
          <w:b/>
          <w:bCs/>
          <w:color w:val="000000"/>
          <w:sz w:val="20"/>
          <w:szCs w:val="20"/>
        </w:rPr>
        <w:t xml:space="preserve">Docker</w:t>
      </w:r>
      <w:r>
        <w:rPr>
          <w:rFonts w:ascii="Arial" w:cs="Arial" w:eastAsia="Arial" w:hAnsi="Arial"/>
          <w:i w:val="false"/>
          <w:iCs w:val="false"/>
          <w:color w:val="333333"/>
          <w:sz w:val="20"/>
          <w:szCs w:val="20"/>
        </w:rPr>
        <w:t xml:space="preserve">, sans aucun compte externe.</w:t>
      </w:r>
    </w:p>
    <w:p>
      <w:pPr>
        <w:pStyle w:val="ListParagraph"/>
        <w:numPr>
          <w:ilvl w:val="0"/>
          <w:numId w:val="2"/>
        </w:numPr>
        <w:spacing w:after="110" w:line="276"/>
      </w:pPr>
      <w:r>
        <w:rPr>
          <w:rFonts w:ascii="Arial" w:cs="Arial" w:eastAsia="Arial" w:hAnsi="Arial"/>
          <w:b/>
          <w:bCs/>
          <w:color w:val="000000"/>
          <w:sz w:val="20"/>
          <w:szCs w:val="20"/>
        </w:rPr>
        <w:t xml:space="preserve">Semaine 2 — structuration et Kubernetes.</w:t>
      </w:r>
      <w:r>
        <w:rPr>
          <w:rFonts w:ascii="Arial" w:cs="Arial" w:eastAsia="Arial" w:hAnsi="Arial"/>
          <w:i w:val="false"/>
          <w:iCs w:val="false"/>
          <w:color w:val="333333"/>
          <w:sz w:val="20"/>
          <w:szCs w:val="20"/>
        </w:rPr>
        <w:t xml:space="preserve"> Modules, for_each et count, data sources, workspaces, multi-environnements. Providers </w:t>
      </w:r>
      <w:r>
        <w:rPr>
          <w:rFonts w:ascii="Arial" w:cs="Arial" w:eastAsia="Arial" w:hAnsi="Arial"/>
          <w:b/>
          <w:bCs/>
          <w:color w:val="000000"/>
          <w:sz w:val="20"/>
          <w:szCs w:val="20"/>
        </w:rPr>
        <w:t xml:space="preserve">Kubernetes</w:t>
      </w:r>
      <w:r>
        <w:rPr>
          <w:rFonts w:ascii="Arial" w:cs="Arial" w:eastAsia="Arial" w:hAnsi="Arial"/>
          <w:i w:val="false"/>
          <w:iCs w:val="false"/>
          <w:color w:val="333333"/>
          <w:sz w:val="20"/>
          <w:szCs w:val="20"/>
        </w:rPr>
        <w:t xml:space="preserve"> et </w:t>
      </w:r>
      <w:r>
        <w:rPr>
          <w:rFonts w:ascii="Arial" w:cs="Arial" w:eastAsia="Arial" w:hAnsi="Arial"/>
          <w:b/>
          <w:bCs/>
          <w:color w:val="000000"/>
          <w:sz w:val="20"/>
          <w:szCs w:val="20"/>
        </w:rPr>
        <w:t xml:space="preserve">Helm</w:t>
      </w:r>
      <w:r>
        <w:rPr>
          <w:rFonts w:ascii="Arial" w:cs="Arial" w:eastAsia="Arial" w:hAnsi="Arial"/>
          <w:i w:val="false"/>
          <w:iCs w:val="false"/>
          <w:color w:val="333333"/>
          <w:sz w:val="20"/>
          <w:szCs w:val="20"/>
        </w:rPr>
        <w:t xml:space="preserve"> : c’est ici que se provisionnent le cluster et les composants du socle de lab. Comparaison explicite Ansible / Terraform : quand utiliser lequel, et pourquoi les deux coexistent.</w:t>
      </w:r>
    </w:p>
    <w:p>
      <w:pPr>
        <w:pStyle w:val="ListParagraph"/>
        <w:numPr>
          <w:ilvl w:val="0"/>
          <w:numId w:val="2"/>
        </w:numPr>
        <w:spacing w:after="110" w:line="276"/>
      </w:pPr>
      <w:r>
        <w:rPr>
          <w:rFonts w:ascii="Arial" w:cs="Arial" w:eastAsia="Arial" w:hAnsi="Arial"/>
          <w:b/>
          <w:bCs/>
          <w:color w:val="000000"/>
          <w:sz w:val="20"/>
          <w:szCs w:val="20"/>
        </w:rPr>
        <w:t xml:space="preserve">Semaine 3 — Terraform pour l’IAM.</w:t>
      </w:r>
      <w:r>
        <w:rPr>
          <w:rFonts w:ascii="Arial" w:cs="Arial" w:eastAsia="Arial" w:hAnsi="Arial"/>
          <w:i w:val="false"/>
          <w:iCs w:val="false"/>
          <w:color w:val="333333"/>
          <w:sz w:val="20"/>
          <w:szCs w:val="20"/>
        </w:rPr>
        <w:t xml:space="preserve"> Le cœur du poste. Un </w:t>
      </w:r>
      <w:r>
        <w:rPr>
          <w:rFonts w:ascii="Arial" w:cs="Arial" w:eastAsia="Arial" w:hAnsi="Arial"/>
          <w:b/>
          <w:bCs/>
          <w:color w:val="000000"/>
          <w:sz w:val="20"/>
          <w:szCs w:val="20"/>
        </w:rPr>
        <w:t xml:space="preserve">realm Keycloak complet en Terraform</w:t>
      </w:r>
      <w:r>
        <w:rPr>
          <w:rFonts w:ascii="Arial" w:cs="Arial" w:eastAsia="Arial" w:hAnsi="Arial"/>
          <w:i w:val="false"/>
          <w:iCs w:val="false"/>
          <w:color w:val="333333"/>
          <w:sz w:val="20"/>
          <w:szCs w:val="20"/>
        </w:rPr>
        <w:t xml:space="preserve"> : clients OIDC, scopes, mappers, rôles. Puis les policies </w:t>
      </w:r>
      <w:r>
        <w:rPr>
          <w:rFonts w:ascii="Arial" w:cs="Arial" w:eastAsia="Arial" w:hAnsi="Arial"/>
          <w:b/>
          <w:bCs/>
          <w:color w:val="000000"/>
          <w:sz w:val="20"/>
          <w:szCs w:val="20"/>
        </w:rPr>
        <w:t xml:space="preserve">OpenBao/Vault</w:t>
      </w:r>
      <w:r>
        <w:rPr>
          <w:rFonts w:ascii="Arial" w:cs="Arial" w:eastAsia="Arial" w:hAnsi="Arial"/>
          <w:i w:val="false"/>
          <w:iCs w:val="false"/>
          <w:color w:val="333333"/>
          <w:sz w:val="20"/>
          <w:szCs w:val="20"/>
        </w:rPr>
        <w:t xml:space="preserve"> et, en option, les projets et rôles </w:t>
      </w:r>
      <w:r>
        <w:rPr>
          <w:rFonts w:ascii="Arial" w:cs="Arial" w:eastAsia="Arial" w:hAnsi="Arial"/>
          <w:b/>
          <w:bCs/>
          <w:color w:val="000000"/>
          <w:sz w:val="20"/>
          <w:szCs w:val="20"/>
        </w:rPr>
        <w:t xml:space="preserve">Keystone</w:t>
      </w:r>
      <w:r>
        <w:rPr>
          <w:rFonts w:ascii="Arial" w:cs="Arial" w:eastAsia="Arial" w:hAnsi="Arial"/>
          <w:i w:val="false"/>
          <w:iCs w:val="false"/>
          <w:color w:val="333333"/>
          <w:sz w:val="20"/>
          <w:szCs w:val="20"/>
        </w:rPr>
        <w:t xml:space="preserve"> sur OpenStack.</w:t>
      </w:r>
    </w:p>
    <w:p>
      <w:pPr>
        <w:spacing w:after="100" w:before="250"/>
      </w:pPr>
      <w:r>
        <w:rPr>
          <w:rFonts w:ascii="Arial" w:cs="Arial" w:eastAsia="Arial" w:hAnsi="Arial"/>
          <w:b/>
          <w:bCs/>
          <w:color w:val="FF7900"/>
          <w:spacing w:val="24"/>
          <w:sz w:val="16"/>
          <w:szCs w:val="16"/>
        </w:rPr>
        <w:t xml:space="preserve">RESSOURCES GRATUITES</w:t>
      </w:r>
    </w:p>
    <w:tbl>
      <w:tblPr>
        <w:tblW w:type="dxa" w:w="9638"/>
        <w:tblBorders>
          <w:top w:val="single" w:color="000000" w:sz="8"/>
          <w:left w:val="none"/>
          <w:bottom w:val="single" w:color="FF7900" w:sz="8"/>
          <w:right w:val="none"/>
          <w:insideH w:val="single" w:color="CCCCCC" w:sz="2"/>
          <w:insideV w:val="none"/>
        </w:tblBorders>
      </w:tblPr>
      <w:tblGrid>
        <w:gridCol w:w="6300"/>
        <w:gridCol w:w="3338"/>
      </w:tblGrid>
      <w:tr>
        <w:tc>
          <w:tcPr>
            <w:tcW w:type="dxa" w:w="6300"/>
            <w:tcMar>
              <w:top w:type="dxa" w:w="120"/>
              <w:left w:type="dxa" w:w="130"/>
              <w:bottom w:type="dxa" w:w="120"/>
              <w:right w:type="dxa" w:w="130"/>
            </w:tcMar>
          </w:tcPr>
          <w:p>
            <w:pPr>
              <w:spacing w:after="50"/>
            </w:pPr>
            <w:hyperlink w:history="1" r:id="rIdyvwsriq_z_4nh1vw32lty">
              <w:r>
                <w:rPr>
                  <w:rFonts w:ascii="Arial" w:cs="Arial" w:eastAsia="Arial" w:hAnsi="Arial"/>
                  <w:b/>
                  <w:bCs/>
                  <w:color w:val="000000"/>
                  <w:sz w:val="19"/>
                  <w:szCs w:val="19"/>
                  <w:u w:val="single"/>
                </w:rPr>
                <w:t xml:space="preserve">HashiCorp — Tutorials Terraform</w:t>
              </w:r>
            </w:hyperlink>
          </w:p>
          <w:p>
            <w:pPr>
              <w:spacing w:after="50" w:line="252"/>
            </w:pPr>
            <w:r>
              <w:rPr>
                <w:rFonts w:ascii="Arial" w:cs="Arial" w:eastAsia="Arial" w:hAnsi="Arial"/>
                <w:i w:val="false"/>
                <w:iCs w:val="false"/>
                <w:color w:val="666666"/>
                <w:sz w:val="17"/>
                <w:szCs w:val="17"/>
              </w:rPr>
              <w:t xml:space="preserve">La meilleure ressource existante. Commencer par le parcours Get Started en version Docker (aucun compte cloud requis), puis Manage State et Modules.</w:t>
            </w:r>
          </w:p>
          <w:p>
            <w:pPr>
              <w:spacing w:after="0"/>
            </w:pPr>
            <w:r>
              <w:rPr>
                <w:rFonts w:ascii="Consolas" w:cs="Consolas" w:eastAsia="Consolas" w:hAnsi="Consolas"/>
                <w:color w:val="FF7900"/>
                <w:sz w:val="14"/>
                <w:szCs w:val="14"/>
              </w:rPr>
              <w:t xml:space="preserve">https://developer.hashicorp.com/terraform/tutorials</w:t>
            </w:r>
          </w:p>
        </w:tc>
        <w:tc>
          <w:tcPr>
            <w:tcW w:type="dxa" w:w="3338"/>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Officiel, gratuit</w:t>
            </w:r>
          </w:p>
        </w:tc>
      </w:tr>
      <w:tr>
        <w:tc>
          <w:tcPr>
            <w:tcW w:type="dxa" w:w="6300"/>
            <w:shd w:fill="FAFAFA" w:color="auto" w:val="clear"/>
            <w:tcMar>
              <w:top w:type="dxa" w:w="120"/>
              <w:left w:type="dxa" w:w="130"/>
              <w:bottom w:type="dxa" w:w="120"/>
              <w:right w:type="dxa" w:w="130"/>
            </w:tcMar>
          </w:tcPr>
          <w:p>
            <w:pPr>
              <w:spacing w:after="50"/>
            </w:pPr>
            <w:hyperlink w:history="1" r:id="rIdnzc1zzuy6krrqrbelg78z">
              <w:r>
                <w:rPr>
                  <w:rFonts w:ascii="Arial" w:cs="Arial" w:eastAsia="Arial" w:hAnsi="Arial"/>
                  <w:b/>
                  <w:bCs/>
                  <w:color w:val="000000"/>
                  <w:sz w:val="19"/>
                  <w:szCs w:val="19"/>
                  <w:u w:val="single"/>
                </w:rPr>
                <w:t xml:space="preserve">OpenTofu — Documentation</w:t>
              </w:r>
            </w:hyperlink>
          </w:p>
          <w:p>
            <w:pPr>
              <w:spacing w:after="50" w:line="252"/>
            </w:pPr>
            <w:r>
              <w:rPr>
                <w:rFonts w:ascii="Arial" w:cs="Arial" w:eastAsia="Arial" w:hAnsi="Arial"/>
                <w:i w:val="false"/>
                <w:iCs w:val="false"/>
                <w:color w:val="666666"/>
                <w:sz w:val="17"/>
                <w:szCs w:val="17"/>
              </w:rPr>
              <w:t xml:space="preserve">Le fork open source de Terraform, sous licence MPL et gouvernance Linux Foundation. Même HCL, même écosystème de providers. À privilégier ici : cohérent avec un positionnement open source, et sans le risque de licence BSL.</w:t>
            </w:r>
          </w:p>
          <w:p>
            <w:pPr>
              <w:spacing w:after="0"/>
            </w:pPr>
            <w:r>
              <w:rPr>
                <w:rFonts w:ascii="Consolas" w:cs="Consolas" w:eastAsia="Consolas" w:hAnsi="Consolas"/>
                <w:color w:val="FF7900"/>
                <w:sz w:val="14"/>
                <w:szCs w:val="14"/>
              </w:rPr>
              <w:t xml:space="preserve">https://opentofu.org/docs/</w:t>
            </w:r>
          </w:p>
        </w:tc>
        <w:tc>
          <w:tcPr>
            <w:tcW w:type="dxa" w:w="3338"/>
            <w:shd w:fill="FAFAFA" w:color="auto" w:val="clear"/>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Linux Foundation</w:t>
            </w:r>
          </w:p>
        </w:tc>
      </w:tr>
      <w:tr>
        <w:tc>
          <w:tcPr>
            <w:tcW w:type="dxa" w:w="6300"/>
            <w:tcMar>
              <w:top w:type="dxa" w:w="120"/>
              <w:left w:type="dxa" w:w="130"/>
              <w:bottom w:type="dxa" w:w="120"/>
              <w:right w:type="dxa" w:w="130"/>
            </w:tcMar>
          </w:tcPr>
          <w:p>
            <w:pPr>
              <w:spacing w:after="50"/>
            </w:pPr>
            <w:hyperlink w:history="1" r:id="rId0ksg1l1tjrk5h6kiwbx51">
              <w:r>
                <w:rPr>
                  <w:rFonts w:ascii="Arial" w:cs="Arial" w:eastAsia="Arial" w:hAnsi="Arial"/>
                  <w:b/>
                  <w:bCs/>
                  <w:color w:val="000000"/>
                  <w:sz w:val="19"/>
                  <w:szCs w:val="19"/>
                  <w:u w:val="single"/>
                </w:rPr>
                <w:t xml:space="preserve">Terraform — Référence du langage</w:t>
              </w:r>
            </w:hyperlink>
          </w:p>
          <w:p>
            <w:pPr>
              <w:spacing w:after="50" w:line="252"/>
            </w:pPr>
            <w:r>
              <w:rPr>
                <w:rFonts w:ascii="Arial" w:cs="Arial" w:eastAsia="Arial" w:hAnsi="Arial"/>
                <w:i w:val="false"/>
                <w:iCs w:val="false"/>
                <w:color w:val="666666"/>
                <w:sz w:val="17"/>
                <w:szCs w:val="17"/>
              </w:rPr>
              <w:t xml:space="preserve">Documentation de référence HCL, valable pour OpenTofu. À garder ouverte pendant les labs plutôt qu’à lire d’un bloc.</w:t>
            </w:r>
          </w:p>
          <w:p>
            <w:pPr>
              <w:spacing w:after="0"/>
            </w:pPr>
            <w:r>
              <w:rPr>
                <w:rFonts w:ascii="Consolas" w:cs="Consolas" w:eastAsia="Consolas" w:hAnsi="Consolas"/>
                <w:color w:val="FF7900"/>
                <w:sz w:val="14"/>
                <w:szCs w:val="14"/>
              </w:rPr>
              <w:t xml:space="preserve">https://developer.hashicorp.com/terraform/language</w:t>
            </w:r>
          </w:p>
        </w:tc>
        <w:tc>
          <w:tcPr>
            <w:tcW w:type="dxa" w:w="3338"/>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Doc officielle</w:t>
            </w:r>
          </w:p>
        </w:tc>
      </w:tr>
      <w:tr>
        <w:tc>
          <w:tcPr>
            <w:tcW w:type="dxa" w:w="6300"/>
            <w:shd w:fill="FAFAFA" w:color="auto" w:val="clear"/>
            <w:tcMar>
              <w:top w:type="dxa" w:w="120"/>
              <w:left w:type="dxa" w:w="130"/>
              <w:bottom w:type="dxa" w:w="120"/>
              <w:right w:type="dxa" w:w="130"/>
            </w:tcMar>
          </w:tcPr>
          <w:p>
            <w:pPr>
              <w:spacing w:after="50"/>
            </w:pPr>
            <w:hyperlink w:history="1" r:id="rIdopqkaurmvmxmu2tueuv1q">
              <w:r>
                <w:rPr>
                  <w:rFonts w:ascii="Arial" w:cs="Arial" w:eastAsia="Arial" w:hAnsi="Arial"/>
                  <w:b/>
                  <w:bCs/>
                  <w:color w:val="000000"/>
                  <w:sz w:val="19"/>
                  <w:szCs w:val="19"/>
                  <w:u w:val="single"/>
                </w:rPr>
                <w:t xml:space="preserve">Terraform Registry</w:t>
              </w:r>
            </w:hyperlink>
          </w:p>
          <w:p>
            <w:pPr>
              <w:spacing w:after="50" w:line="252"/>
            </w:pPr>
            <w:r>
              <w:rPr>
                <w:rFonts w:ascii="Arial" w:cs="Arial" w:eastAsia="Arial" w:hAnsi="Arial"/>
                <w:i w:val="false"/>
                <w:iCs w:val="false"/>
                <w:color w:val="666666"/>
                <w:sz w:val="17"/>
                <w:szCs w:val="17"/>
              </w:rPr>
              <w:t xml:space="preserve">Chercher les providers keycloak, kubernetes, helm, vault, openstack et docker. Les exemples du provider Keycloak sont le pont direct entre l’expertise IAM et l’IaC. Équivalent OpenTofu : search.opentofu.org.</w:t>
            </w:r>
          </w:p>
          <w:p>
            <w:pPr>
              <w:spacing w:after="0"/>
            </w:pPr>
            <w:r>
              <w:rPr>
                <w:rFonts w:ascii="Consolas" w:cs="Consolas" w:eastAsia="Consolas" w:hAnsi="Consolas"/>
                <w:color w:val="FF7900"/>
                <w:sz w:val="14"/>
                <w:szCs w:val="14"/>
              </w:rPr>
              <w:t xml:space="preserve">https://registry.terraform.io/</w:t>
            </w:r>
          </w:p>
        </w:tc>
        <w:tc>
          <w:tcPr>
            <w:tcW w:type="dxa" w:w="3338"/>
            <w:shd w:fill="FAFAFA" w:color="auto" w:val="clear"/>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Providers</w:t>
            </w:r>
          </w:p>
        </w:tc>
      </w:tr>
      <w:tr>
        <w:tc>
          <w:tcPr>
            <w:tcW w:type="dxa" w:w="6300"/>
            <w:tcMar>
              <w:top w:type="dxa" w:w="120"/>
              <w:left w:type="dxa" w:w="130"/>
              <w:bottom w:type="dxa" w:w="120"/>
              <w:right w:type="dxa" w:w="130"/>
            </w:tcMar>
          </w:tcPr>
          <w:p>
            <w:pPr>
              <w:spacing w:after="50"/>
            </w:pPr>
            <w:hyperlink w:history="1" r:id="rId8wxjovem50vwwmnlc0qe2">
              <w:r>
                <w:rPr>
                  <w:rFonts w:ascii="Arial" w:cs="Arial" w:eastAsia="Arial" w:hAnsi="Arial"/>
                  <w:b/>
                  <w:bCs/>
                  <w:color w:val="000000"/>
                  <w:sz w:val="19"/>
                  <w:szCs w:val="19"/>
                  <w:u w:val="single"/>
                </w:rPr>
                <w:t xml:space="preserve">Crossplane — Documentation</w:t>
              </w:r>
            </w:hyperlink>
          </w:p>
          <w:p>
            <w:pPr>
              <w:spacing w:after="50" w:line="252"/>
            </w:pPr>
            <w:r>
              <w:rPr>
                <w:rFonts w:ascii="Arial" w:cs="Arial" w:eastAsia="Arial" w:hAnsi="Arial"/>
                <w:i w:val="false"/>
                <w:iCs w:val="false"/>
                <w:color w:val="666666"/>
                <w:sz w:val="17"/>
                <w:szCs w:val="17"/>
              </w:rPr>
              <w:t xml:space="preserve">Une journée de survol en semaine 3. Objectif : savoir opposer le modèle Crossplane (contrôleurs Kubernetes réconciliant en continu) au modèle Terraform (plan/apply).</w:t>
            </w:r>
          </w:p>
          <w:p>
            <w:pPr>
              <w:spacing w:after="0"/>
            </w:pPr>
            <w:r>
              <w:rPr>
                <w:rFonts w:ascii="Consolas" w:cs="Consolas" w:eastAsia="Consolas" w:hAnsi="Consolas"/>
                <w:color w:val="FF7900"/>
                <w:sz w:val="14"/>
                <w:szCs w:val="14"/>
              </w:rPr>
              <w:t xml:space="preserve">https://docs.crossplane.io/</w:t>
            </w:r>
          </w:p>
        </w:tc>
        <w:tc>
          <w:tcPr>
            <w:tcW w:type="dxa" w:w="3338"/>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Open source</w:t>
            </w:r>
          </w:p>
        </w:tc>
      </w:tr>
    </w:tbl>
    <w:p>
      <w:pPr>
        <w:spacing w:after="150"/>
      </w:pPr>
    </w:p>
    <w:tbl>
      <w:tblPr>
        <w:tblW w:type="dxa" w:w="9638"/>
        <w:tblBorders>
          <w:top w:val="single" w:color="FF7900" w:sz="8"/>
          <w:left w:val="single" w:color="FF7900" w:sz="8"/>
          <w:bottom w:val="single" w:color="FF7900" w:sz="8"/>
          <w:right w:val="single" w:color="FF7900" w:sz="8"/>
          <w:insideH w:val="single" w:color="auto" w:sz="4"/>
          <w:insideV w:val="single" w:color="auto" w:sz="4"/>
        </w:tblBorders>
      </w:tblPr>
      <w:tblGrid>
        <w:gridCol w:w="9638"/>
      </w:tblGrid>
      <w:tr>
        <w:tc>
          <w:tcPr>
            <w:tcW w:type="dxa" w:w="9638"/>
            <w:tcMar>
              <w:top w:type="dxa" w:w="150"/>
              <w:left w:type="dxa" w:w="220"/>
              <w:bottom w:type="dxa" w:w="150"/>
              <w:right w:type="dxa" w:w="220"/>
            </w:tcMar>
          </w:tcPr>
          <w:p>
            <w:pPr>
              <w:spacing w:after="80"/>
            </w:pPr>
            <w:r>
              <w:rPr>
                <w:rFonts w:ascii="Arial" w:cs="Arial" w:eastAsia="Arial" w:hAnsi="Arial"/>
                <w:b/>
                <w:bCs/>
                <w:color w:val="FF7900"/>
                <w:spacing w:val="24"/>
                <w:sz w:val="16"/>
                <w:szCs w:val="16"/>
              </w:rPr>
              <w:t xml:space="preserve">LIVRABLE</w:t>
            </w:r>
          </w:p>
          <w:p>
            <w:pPr>
              <w:spacing w:after="0" w:line="264"/>
            </w:pPr>
            <w:r>
              <w:rPr>
                <w:rFonts w:ascii="Arial" w:cs="Arial" w:eastAsia="Arial" w:hAnsi="Arial"/>
                <w:i w:val="false"/>
                <w:iCs w:val="false"/>
                <w:color w:val="333333"/>
                <w:sz w:val="19"/>
                <w:szCs w:val="19"/>
              </w:rPr>
              <w:t xml:space="preserve">Le socle de lab entier décrit en code : cluster, Keycloak avec un realm complet, OpenBao et MinIO, déployables par un seul apply. C’est à la fois le livrable de la phase et l’infrastructure des deux phases suivantes.</w:t>
            </w:r>
          </w:p>
        </w:tc>
      </w:tr>
    </w:tbl>
    <w:p>
      <w:pPr>
        <w:spacing w:after="200"/>
      </w:pPr>
    </w:p>
    <w:p>
      <w:pPr>
        <w:spacing w:after="50" w:before="420"/>
      </w:pPr>
      <w:r>
        <w:rPr>
          <w:rFonts w:ascii="Arial" w:cs="Arial" w:eastAsia="Arial" w:hAnsi="Arial"/>
          <w:b/>
          <w:bCs/>
          <w:color w:val="FF7900"/>
          <w:spacing w:val="24"/>
          <w:sz w:val="16"/>
          <w:szCs w:val="16"/>
        </w:rPr>
        <w:t xml:space="preserve">PHASE 2   </w:t>
      </w:r>
      <w:r>
        <w:rPr>
          <w:rFonts w:ascii="Arial" w:cs="Arial" w:eastAsia="Arial" w:hAnsi="Arial"/>
          <w:color w:val="666666"/>
          <w:spacing w:val="24"/>
          <w:sz w:val="16"/>
          <w:szCs w:val="16"/>
        </w:rPr>
        <w:t xml:space="preserve">Semaines 4 à 6   ·   environ 21 h</w:t>
      </w:r>
    </w:p>
    <w:p>
      <w:pPr>
        <w:spacing w:after="160"/>
      </w:pPr>
      <w:r>
        <w:rPr>
          <w:rFonts w:ascii="Arial" w:cs="Arial" w:eastAsia="Arial" w:hAnsi="Arial"/>
          <w:b/>
          <w:bCs/>
          <w:color w:val="000000"/>
          <w:sz w:val="26"/>
          <w:szCs w:val="26"/>
        </w:rPr>
        <w:t xml:space="preserve">Workload identity</w:t>
      </w:r>
    </w:p>
    <w:tbl>
      <w:tblPr>
        <w:tblW w:type="dxa" w:w="9638"/>
        <w:tblBorders>
          <w:top w:val="none"/>
          <w:left w:val="single" w:color="FF7900" w:sz="24"/>
          <w:bottom w:val="none"/>
          <w:right w:val="none"/>
          <w:insideH w:val="none"/>
          <w:insideV w:val="none"/>
        </w:tblBorders>
      </w:tblPr>
      <w:tblGrid>
        <w:gridCol w:w="9638"/>
      </w:tblGrid>
      <w:tr>
        <w:tc>
          <w:tcPr>
            <w:tcW w:type="dxa" w:w="9638"/>
            <w:shd w:fill="F6F6F6" w:color="auto" w:val="clear"/>
            <w:tcMar>
              <w:top w:type="dxa" w:w="150"/>
              <w:left w:type="dxa" w:w="220"/>
              <w:bottom w:type="dxa" w:w="150"/>
              <w:right w:type="dxa" w:w="220"/>
            </w:tcMar>
          </w:tcPr>
          <w:p>
            <w:pPr>
              <w:spacing w:after="0" w:line="264"/>
            </w:pPr>
            <w:r>
              <w:rPr>
                <w:rFonts w:ascii="Arial" w:cs="Arial" w:eastAsia="Arial" w:hAnsi="Arial"/>
                <w:b/>
                <w:bCs/>
                <w:color w:val="000000"/>
                <w:sz w:val="19"/>
                <w:szCs w:val="19"/>
              </w:rPr>
              <w:t xml:space="preserve">La phase la plus rapide, compte tenu du profil.</w:t>
            </w:r>
            <w:r>
              <w:rPr>
                <w:rFonts w:ascii="Arial" w:cs="Arial" w:eastAsia="Arial" w:hAnsi="Arial"/>
                <w:i w:val="false"/>
                <w:iCs w:val="false"/>
                <w:color w:val="333333"/>
                <w:sz w:val="19"/>
                <w:szCs w:val="19"/>
              </w:rPr>
              <w:t xml:space="preserve"> Le workload identity supprime les secrets statiques en échangeant une identité attestée contre des credentials à durée courte. Émetteur, signature, validation d’audience, durée de vie, rotation : c’est du </w:t>
            </w:r>
            <w:r>
              <w:rPr>
                <w:rFonts w:ascii="Arial" w:cs="Arial" w:eastAsia="Arial" w:hAnsi="Arial"/>
                <w:b/>
                <w:bCs/>
                <w:color w:val="000000"/>
                <w:sz w:val="19"/>
                <w:szCs w:val="19"/>
              </w:rPr>
              <w:t xml:space="preserve">PKI appliqué</w:t>
            </w:r>
            <w:r>
              <w:rPr>
                <w:rFonts w:ascii="Arial" w:cs="Arial" w:eastAsia="Arial" w:hAnsi="Arial"/>
                <w:i w:val="false"/>
                <w:iCs w:val="false"/>
                <w:color w:val="333333"/>
                <w:sz w:val="19"/>
                <w:szCs w:val="19"/>
              </w:rPr>
              <w:t xml:space="preserve">. Le concept est déjà acquis ; ce qui s’apprend ici, c’est l’outillage — et sur infrastructure interne, cet outillage est plus explicite, pas moins : rien n’est masqué par une console managée.</w:t>
            </w:r>
          </w:p>
        </w:tc>
      </w:tr>
    </w:tbl>
    <w:p>
      <w:pPr>
        <w:spacing w:after="100"/>
      </w:pPr>
    </w:p>
    <w:p>
      <w:pPr>
        <w:spacing w:after="100" w:before="250"/>
      </w:pPr>
      <w:r>
        <w:rPr>
          <w:rFonts w:ascii="Arial" w:cs="Arial" w:eastAsia="Arial" w:hAnsi="Arial"/>
          <w:b/>
          <w:bCs/>
          <w:color w:val="FF7900"/>
          <w:spacing w:val="24"/>
          <w:sz w:val="16"/>
          <w:szCs w:val="16"/>
        </w:rPr>
        <w:t xml:space="preserve">PROGRESSION</w:t>
      </w:r>
    </w:p>
    <w:p>
      <w:pPr>
        <w:pStyle w:val="ListParagraph"/>
        <w:numPr>
          <w:ilvl w:val="0"/>
          <w:numId w:val="3"/>
        </w:numPr>
        <w:spacing w:after="110" w:line="276"/>
      </w:pPr>
      <w:r>
        <w:rPr>
          <w:rFonts w:ascii="Arial" w:cs="Arial" w:eastAsia="Arial" w:hAnsi="Arial"/>
          <w:b/>
          <w:bCs/>
          <w:color w:val="000000"/>
          <w:sz w:val="20"/>
          <w:szCs w:val="20"/>
        </w:rPr>
        <w:t xml:space="preserve">Semaine 4 — le mécanisme générique.</w:t>
      </w:r>
      <w:r>
        <w:rPr>
          <w:rFonts w:ascii="Arial" w:cs="Arial" w:eastAsia="Arial" w:hAnsi="Arial"/>
          <w:i w:val="false"/>
          <w:iCs w:val="false"/>
          <w:color w:val="333333"/>
          <w:sz w:val="20"/>
          <w:szCs w:val="20"/>
        </w:rPr>
        <w:t xml:space="preserve"> Le token de ServiceAccount projeté, l’émetteur OIDC du cluster (/.well-known/openid-configuration), le JWKS, la validation d’audience et de durée de vie. Puis </w:t>
      </w:r>
      <w:r>
        <w:rPr>
          <w:rFonts w:ascii="Arial" w:cs="Arial" w:eastAsia="Arial" w:hAnsi="Arial"/>
          <w:b/>
          <w:bCs/>
          <w:color w:val="000000"/>
          <w:sz w:val="20"/>
          <w:szCs w:val="20"/>
        </w:rPr>
        <w:t xml:space="preserve">Keycloak en fournisseur d’identité de charges de travail</w:t>
      </w:r>
      <w:r>
        <w:rPr>
          <w:rFonts w:ascii="Arial" w:cs="Arial" w:eastAsia="Arial" w:hAnsi="Arial"/>
          <w:i w:val="false"/>
          <w:iCs w:val="false"/>
          <w:color w:val="333333"/>
          <w:sz w:val="20"/>
          <w:szCs w:val="20"/>
        </w:rPr>
        <w:t xml:space="preserve"> et le </w:t>
      </w:r>
      <w:r>
        <w:rPr>
          <w:rFonts w:ascii="Arial" w:cs="Arial" w:eastAsia="Arial" w:hAnsi="Arial"/>
          <w:b/>
          <w:bCs/>
          <w:color w:val="000000"/>
          <w:sz w:val="20"/>
          <w:szCs w:val="20"/>
        </w:rPr>
        <w:t xml:space="preserve">Token Exchange (RFC 8693)</w:t>
      </w:r>
      <w:r>
        <w:rPr>
          <w:rFonts w:ascii="Arial" w:cs="Arial" w:eastAsia="Arial" w:hAnsi="Arial"/>
          <w:i w:val="false"/>
          <w:iCs w:val="false"/>
          <w:color w:val="333333"/>
          <w:sz w:val="20"/>
          <w:szCs w:val="20"/>
        </w:rPr>
        <w:t xml:space="preserve">.</w:t>
      </w:r>
    </w:p>
    <w:p>
      <w:pPr>
        <w:pStyle w:val="ListParagraph"/>
        <w:numPr>
          <w:ilvl w:val="0"/>
          <w:numId w:val="3"/>
        </w:numPr>
        <w:spacing w:after="110" w:line="276"/>
      </w:pPr>
      <w:r>
        <w:rPr>
          <w:rFonts w:ascii="Arial" w:cs="Arial" w:eastAsia="Arial" w:hAnsi="Arial"/>
          <w:b/>
          <w:bCs/>
          <w:color w:val="000000"/>
          <w:sz w:val="20"/>
          <w:szCs w:val="20"/>
        </w:rPr>
        <w:t xml:space="preserve">Semaine 5 — SPIFFE / SPIRE.</w:t>
      </w:r>
      <w:r>
        <w:rPr>
          <w:rFonts w:ascii="Arial" w:cs="Arial" w:eastAsia="Arial" w:hAnsi="Arial"/>
          <w:i w:val="false"/>
          <w:iCs w:val="false"/>
          <w:color w:val="333333"/>
          <w:sz w:val="20"/>
          <w:szCs w:val="20"/>
        </w:rPr>
        <w:t xml:space="preserve"> Le cœur de la phase. Identité de charge de travail portable et indépendante du fournisseur, fondée sur des </w:t>
      </w:r>
      <w:r>
        <w:rPr>
          <w:rFonts w:ascii="Arial" w:cs="Arial" w:eastAsia="Arial" w:hAnsi="Arial"/>
          <w:b/>
          <w:bCs/>
          <w:color w:val="000000"/>
          <w:sz w:val="20"/>
          <w:szCs w:val="20"/>
        </w:rPr>
        <w:t xml:space="preserve">SVID X.509</w:t>
      </w:r>
      <w:r>
        <w:rPr>
          <w:rFonts w:ascii="Arial" w:cs="Arial" w:eastAsia="Arial" w:hAnsi="Arial"/>
          <w:i w:val="false"/>
          <w:iCs w:val="false"/>
          <w:color w:val="333333"/>
          <w:sz w:val="20"/>
          <w:szCs w:val="20"/>
        </w:rPr>
        <w:t xml:space="preserve"> : attestation de nœud, attestation de charge de travail, rotation automatique, mTLS entre services, fédération de trust domains. C’est le sujet où l’expertise PKI donne une longueur d’avance sur un profil cloud classique.</w:t>
      </w:r>
    </w:p>
    <w:p>
      <w:pPr>
        <w:pStyle w:val="ListParagraph"/>
        <w:numPr>
          <w:ilvl w:val="0"/>
          <w:numId w:val="3"/>
        </w:numPr>
        <w:spacing w:after="110" w:line="276"/>
      </w:pPr>
      <w:r>
        <w:rPr>
          <w:rFonts w:ascii="Arial" w:cs="Arial" w:eastAsia="Arial" w:hAnsi="Arial"/>
          <w:b/>
          <w:bCs/>
          <w:color w:val="000000"/>
          <w:sz w:val="20"/>
          <w:szCs w:val="20"/>
        </w:rPr>
        <w:t xml:space="preserve">Semaine 6 — le motif « zéro secret » de bout en bout.</w:t>
      </w:r>
      <w:r>
        <w:rPr>
          <w:rFonts w:ascii="Arial" w:cs="Arial" w:eastAsia="Arial" w:hAnsi="Arial"/>
          <w:i w:val="false"/>
          <w:iCs w:val="false"/>
          <w:color w:val="333333"/>
          <w:sz w:val="20"/>
          <w:szCs w:val="20"/>
        </w:rPr>
        <w:t xml:space="preserve"> Deux mises en œuvre : un pod obtient un secret dynamique d’</w:t>
      </w:r>
      <w:r>
        <w:rPr>
          <w:rFonts w:ascii="Arial" w:cs="Arial" w:eastAsia="Arial" w:hAnsi="Arial"/>
          <w:b/>
          <w:bCs/>
          <w:color w:val="000000"/>
          <w:sz w:val="20"/>
          <w:szCs w:val="20"/>
        </w:rPr>
        <w:t xml:space="preserve">OpenBao/Vault</w:t>
      </w:r>
      <w:r>
        <w:rPr>
          <w:rFonts w:ascii="Arial" w:cs="Arial" w:eastAsia="Arial" w:hAnsi="Arial"/>
          <w:i w:val="false"/>
          <w:iCs w:val="false"/>
          <w:color w:val="333333"/>
          <w:sz w:val="20"/>
          <w:szCs w:val="20"/>
        </w:rPr>
        <w:t xml:space="preserve"> par authentification Kubernetes ; puis un pod obtient des credentials </w:t>
      </w:r>
      <w:r>
        <w:rPr>
          <w:rFonts w:ascii="Arial" w:cs="Arial" w:eastAsia="Arial" w:hAnsi="Arial"/>
          <w:b/>
          <w:bCs/>
          <w:color w:val="000000"/>
          <w:sz w:val="20"/>
          <w:szCs w:val="20"/>
        </w:rPr>
        <w:t xml:space="preserve">MinIO</w:t>
      </w:r>
      <w:r>
        <w:rPr>
          <w:rFonts w:ascii="Arial" w:cs="Arial" w:eastAsia="Arial" w:hAnsi="Arial"/>
          <w:i w:val="false"/>
          <w:iCs w:val="false"/>
          <w:color w:val="333333"/>
          <w:sz w:val="20"/>
          <w:szCs w:val="20"/>
        </w:rPr>
        <w:t xml:space="preserve"> temporaires en échangeant son jeton d’identité fédéré. Clore par une </w:t>
      </w:r>
      <w:r>
        <w:rPr>
          <w:rFonts w:ascii="Arial" w:cs="Arial" w:eastAsia="Arial" w:hAnsi="Arial"/>
          <w:b/>
          <w:bCs/>
          <w:color w:val="000000"/>
          <w:sz w:val="20"/>
          <w:szCs w:val="20"/>
        </w:rPr>
        <w:t xml:space="preserve">note de transposition</w:t>
      </w:r>
      <w:r>
        <w:rPr>
          <w:rFonts w:ascii="Arial" w:cs="Arial" w:eastAsia="Arial" w:hAnsi="Arial"/>
          <w:i w:val="false"/>
          <w:iCs w:val="false"/>
          <w:color w:val="333333"/>
          <w:sz w:val="20"/>
          <w:szCs w:val="20"/>
        </w:rPr>
        <w:t xml:space="preserve"> vers les noms commerciaux des hyperscalers.</w:t>
      </w:r>
    </w:p>
    <w:p>
      <w:pPr>
        <w:spacing w:after="100" w:before="250"/>
      </w:pPr>
      <w:r>
        <w:rPr>
          <w:rFonts w:ascii="Arial" w:cs="Arial" w:eastAsia="Arial" w:hAnsi="Arial"/>
          <w:b/>
          <w:bCs/>
          <w:color w:val="FF7900"/>
          <w:spacing w:val="24"/>
          <w:sz w:val="16"/>
          <w:szCs w:val="16"/>
        </w:rPr>
        <w:t xml:space="preserve">RESSOURCES GRATUITES</w:t>
      </w:r>
    </w:p>
    <w:tbl>
      <w:tblPr>
        <w:tblW w:type="dxa" w:w="9638"/>
        <w:tblBorders>
          <w:top w:val="single" w:color="000000" w:sz="8"/>
          <w:left w:val="none"/>
          <w:bottom w:val="single" w:color="FF7900" w:sz="8"/>
          <w:right w:val="none"/>
          <w:insideH w:val="single" w:color="CCCCCC" w:sz="2"/>
          <w:insideV w:val="none"/>
        </w:tblBorders>
      </w:tblPr>
      <w:tblGrid>
        <w:gridCol w:w="6300"/>
        <w:gridCol w:w="3338"/>
      </w:tblGrid>
      <w:tr>
        <w:tc>
          <w:tcPr>
            <w:tcW w:type="dxa" w:w="6300"/>
            <w:tcMar>
              <w:top w:type="dxa" w:w="120"/>
              <w:left w:type="dxa" w:w="130"/>
              <w:bottom w:type="dxa" w:w="120"/>
              <w:right w:type="dxa" w:w="130"/>
            </w:tcMar>
          </w:tcPr>
          <w:p>
            <w:pPr>
              <w:spacing w:after="50"/>
            </w:pPr>
            <w:hyperlink w:history="1" r:id="rIdkpy4aezuotiy4r7jbema8">
              <w:r>
                <w:rPr>
                  <w:rFonts w:ascii="Arial" w:cs="Arial" w:eastAsia="Arial" w:hAnsi="Arial"/>
                  <w:b/>
                  <w:bCs/>
                  <w:color w:val="000000"/>
                  <w:sz w:val="19"/>
                  <w:szCs w:val="19"/>
                  <w:u w:val="single"/>
                </w:rPr>
                <w:t xml:space="preserve">SPIFFE / SPIRE — Documentation</w:t>
              </w:r>
            </w:hyperlink>
          </w:p>
          <w:p>
            <w:pPr>
              <w:spacing w:after="50" w:line="252"/>
            </w:pPr>
            <w:r>
              <w:rPr>
                <w:rFonts w:ascii="Arial" w:cs="Arial" w:eastAsia="Arial" w:hAnsi="Arial"/>
                <w:i w:val="false"/>
                <w:iCs w:val="false"/>
                <w:color w:val="666666"/>
                <w:sz w:val="17"/>
                <w:szCs w:val="17"/>
              </w:rPr>
              <w:t xml:space="preserve">Projet CNCF diplômé, entièrement open source. SVID X.509, attestation de nœud et de charge de travail, rotation automatique, fédération. La ressource centrale de la phase, et le pont le plus direct entre la PKI et le cloud-native.</w:t>
            </w:r>
          </w:p>
          <w:p>
            <w:pPr>
              <w:spacing w:after="0"/>
            </w:pPr>
            <w:r>
              <w:rPr>
                <w:rFonts w:ascii="Consolas" w:cs="Consolas" w:eastAsia="Consolas" w:hAnsi="Consolas"/>
                <w:color w:val="FF7900"/>
                <w:sz w:val="14"/>
                <w:szCs w:val="14"/>
              </w:rPr>
              <w:t xml:space="preserve">https://spiffe.io/docs/latest/spiffe-about/overview/</w:t>
            </w:r>
          </w:p>
        </w:tc>
        <w:tc>
          <w:tcPr>
            <w:tcW w:type="dxa" w:w="3338"/>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Projet CNCF</w:t>
            </w:r>
          </w:p>
        </w:tc>
      </w:tr>
      <w:tr>
        <w:tc>
          <w:tcPr>
            <w:tcW w:type="dxa" w:w="6300"/>
            <w:shd w:fill="FAFAFA" w:color="auto" w:val="clear"/>
            <w:tcMar>
              <w:top w:type="dxa" w:w="120"/>
              <w:left w:type="dxa" w:w="130"/>
              <w:bottom w:type="dxa" w:w="120"/>
              <w:right w:type="dxa" w:w="130"/>
            </w:tcMar>
          </w:tcPr>
          <w:p>
            <w:pPr>
              <w:spacing w:after="50"/>
            </w:pPr>
            <w:hyperlink w:history="1" r:id="rIdm9ey23tal24y36y6upfrz">
              <w:r>
                <w:rPr>
                  <w:rFonts w:ascii="Arial" w:cs="Arial" w:eastAsia="Arial" w:hAnsi="Arial"/>
                  <w:b/>
                  <w:bCs/>
                  <w:color w:val="000000"/>
                  <w:sz w:val="19"/>
                  <w:szCs w:val="19"/>
                  <w:u w:val="single"/>
                </w:rPr>
                <w:t xml:space="preserve">Kubernetes — Service Accounts</w:t>
              </w:r>
            </w:hyperlink>
          </w:p>
          <w:p>
            <w:pPr>
              <w:spacing w:after="50" w:line="252"/>
            </w:pPr>
            <w:r>
              <w:rPr>
                <w:rFonts w:ascii="Arial" w:cs="Arial" w:eastAsia="Arial" w:hAnsi="Arial"/>
                <w:i w:val="false"/>
                <w:iCs w:val="false"/>
                <w:color w:val="666666"/>
                <w:sz w:val="17"/>
                <w:szCs w:val="17"/>
              </w:rPr>
              <w:t xml:space="preserve">La projection de token, son audience, sa durée de vie et sa rotation. La brique de base de tout le mécanisme.</w:t>
            </w:r>
          </w:p>
          <w:p>
            <w:pPr>
              <w:spacing w:after="0"/>
            </w:pPr>
            <w:r>
              <w:rPr>
                <w:rFonts w:ascii="Consolas" w:cs="Consolas" w:eastAsia="Consolas" w:hAnsi="Consolas"/>
                <w:color w:val="FF7900"/>
                <w:sz w:val="14"/>
                <w:szCs w:val="14"/>
              </w:rPr>
              <w:t xml:space="preserve">https://kubernetes.io/docs/concepts/security/service-accounts/</w:t>
            </w:r>
          </w:p>
        </w:tc>
        <w:tc>
          <w:tcPr>
            <w:tcW w:type="dxa" w:w="3338"/>
            <w:shd w:fill="FAFAFA" w:color="auto" w:val="clear"/>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Doc officielle</w:t>
            </w:r>
          </w:p>
        </w:tc>
      </w:tr>
      <w:tr>
        <w:tc>
          <w:tcPr>
            <w:tcW w:type="dxa" w:w="6300"/>
            <w:tcMar>
              <w:top w:type="dxa" w:w="120"/>
              <w:left w:type="dxa" w:w="130"/>
              <w:bottom w:type="dxa" w:w="120"/>
              <w:right w:type="dxa" w:w="130"/>
            </w:tcMar>
          </w:tcPr>
          <w:p>
            <w:pPr>
              <w:spacing w:after="50"/>
            </w:pPr>
            <w:hyperlink w:history="1" r:id="rIdcsc7ryhpcvcmxf-tp4icb">
              <w:r>
                <w:rPr>
                  <w:rFonts w:ascii="Arial" w:cs="Arial" w:eastAsia="Arial" w:hAnsi="Arial"/>
                  <w:b/>
                  <w:bCs/>
                  <w:color w:val="000000"/>
                  <w:sz w:val="19"/>
                  <w:szCs w:val="19"/>
                  <w:u w:val="single"/>
                </w:rPr>
                <w:t xml:space="preserve">Kubernetes — Authentication</w:t>
              </w:r>
            </w:hyperlink>
          </w:p>
          <w:p>
            <w:pPr>
              <w:spacing w:after="50" w:line="252"/>
            </w:pPr>
            <w:r>
              <w:rPr>
                <w:rFonts w:ascii="Arial" w:cs="Arial" w:eastAsia="Arial" w:hAnsi="Arial"/>
                <w:i w:val="false"/>
                <w:iCs w:val="false"/>
                <w:color w:val="666666"/>
                <w:sz w:val="17"/>
                <w:szCs w:val="17"/>
              </w:rPr>
              <w:t xml:space="preserve">La section sur l’émetteur OIDC du cluster et la découverte du JWKS : comment un tiers valide un token émis par le cluster, sans lui faire confiance a priori.</w:t>
            </w:r>
          </w:p>
          <w:p>
            <w:pPr>
              <w:spacing w:after="0"/>
            </w:pPr>
            <w:r>
              <w:rPr>
                <w:rFonts w:ascii="Consolas" w:cs="Consolas" w:eastAsia="Consolas" w:hAnsi="Consolas"/>
                <w:color w:val="FF7900"/>
                <w:sz w:val="14"/>
                <w:szCs w:val="14"/>
              </w:rPr>
              <w:t xml:space="preserve">https://kubernetes.io/docs/reference/access-authn-authz/authentication/</w:t>
            </w:r>
          </w:p>
        </w:tc>
        <w:tc>
          <w:tcPr>
            <w:tcW w:type="dxa" w:w="3338"/>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Doc officielle</w:t>
            </w:r>
          </w:p>
        </w:tc>
      </w:tr>
      <w:tr>
        <w:tc>
          <w:tcPr>
            <w:tcW w:type="dxa" w:w="6300"/>
            <w:shd w:fill="FAFAFA" w:color="auto" w:val="clear"/>
            <w:tcMar>
              <w:top w:type="dxa" w:w="120"/>
              <w:left w:type="dxa" w:w="130"/>
              <w:bottom w:type="dxa" w:w="120"/>
              <w:right w:type="dxa" w:w="130"/>
            </w:tcMar>
          </w:tcPr>
          <w:p>
            <w:pPr>
              <w:spacing w:after="50"/>
            </w:pPr>
            <w:hyperlink w:history="1" r:id="rIdsq28pn4lhxciq6rj4ygky">
              <w:r>
                <w:rPr>
                  <w:rFonts w:ascii="Arial" w:cs="Arial" w:eastAsia="Arial" w:hAnsi="Arial"/>
                  <w:b/>
                  <w:bCs/>
                  <w:color w:val="000000"/>
                  <w:sz w:val="19"/>
                  <w:szCs w:val="19"/>
                  <w:u w:val="single"/>
                </w:rPr>
                <w:t xml:space="preserve">RFC 8693 — OAuth 2.0 Token Exchange</w:t>
              </w:r>
            </w:hyperlink>
          </w:p>
          <w:p>
            <w:pPr>
              <w:spacing w:after="50" w:line="252"/>
            </w:pPr>
            <w:r>
              <w:rPr>
                <w:rFonts w:ascii="Arial" w:cs="Arial" w:eastAsia="Arial" w:hAnsi="Arial"/>
                <w:i w:val="false"/>
                <w:iCs w:val="false"/>
                <w:color w:val="666666"/>
                <w:sz w:val="17"/>
                <w:szCs w:val="17"/>
              </w:rPr>
              <w:t xml:space="preserve">Une soirée de lecture. Standard cité dans le profil de poste, et directement praticable dans Keycloak.</w:t>
            </w:r>
          </w:p>
          <w:p>
            <w:pPr>
              <w:spacing w:after="0"/>
            </w:pPr>
            <w:r>
              <w:rPr>
                <w:rFonts w:ascii="Consolas" w:cs="Consolas" w:eastAsia="Consolas" w:hAnsi="Consolas"/>
                <w:color w:val="FF7900"/>
                <w:sz w:val="14"/>
                <w:szCs w:val="14"/>
              </w:rPr>
              <w:t xml:space="preserve">https://datatracker.ietf.org/doc/html/rfc8693</w:t>
            </w:r>
          </w:p>
        </w:tc>
        <w:tc>
          <w:tcPr>
            <w:tcW w:type="dxa" w:w="3338"/>
            <w:shd w:fill="FAFAFA" w:color="auto" w:val="clear"/>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Standard IETF</w:t>
            </w:r>
          </w:p>
        </w:tc>
      </w:tr>
      <w:tr>
        <w:tc>
          <w:tcPr>
            <w:tcW w:type="dxa" w:w="6300"/>
            <w:tcMar>
              <w:top w:type="dxa" w:w="120"/>
              <w:left w:type="dxa" w:w="130"/>
              <w:bottom w:type="dxa" w:w="120"/>
              <w:right w:type="dxa" w:w="130"/>
            </w:tcMar>
          </w:tcPr>
          <w:p>
            <w:pPr>
              <w:spacing w:after="50"/>
            </w:pPr>
            <w:hyperlink w:history="1" r:id="rIdimakye81omr7li15lkw7h">
              <w:r>
                <w:rPr>
                  <w:rFonts w:ascii="Arial" w:cs="Arial" w:eastAsia="Arial" w:hAnsi="Arial"/>
                  <w:b/>
                  <w:bCs/>
                  <w:color w:val="000000"/>
                  <w:sz w:val="19"/>
                  <w:szCs w:val="19"/>
                  <w:u w:val="single"/>
                </w:rPr>
                <w:t xml:space="preserve">Keycloak — Documentation</w:t>
              </w:r>
            </w:hyperlink>
          </w:p>
          <w:p>
            <w:pPr>
              <w:spacing w:after="50" w:line="252"/>
            </w:pPr>
            <w:r>
              <w:rPr>
                <w:rFonts w:ascii="Arial" w:cs="Arial" w:eastAsia="Arial" w:hAnsi="Arial"/>
                <w:i w:val="false"/>
                <w:iCs w:val="false"/>
                <w:color w:val="666666"/>
                <w:sz w:val="17"/>
                <w:szCs w:val="17"/>
              </w:rPr>
              <w:t xml:space="preserve">Sections Securing applications et Token exchange. Terrain connu, mais pour un usage nouveau : l’identité des charges de travail plutôt que celle des utilisateurs.</w:t>
            </w:r>
          </w:p>
          <w:p>
            <w:pPr>
              <w:spacing w:after="0"/>
            </w:pPr>
            <w:r>
              <w:rPr>
                <w:rFonts w:ascii="Consolas" w:cs="Consolas" w:eastAsia="Consolas" w:hAnsi="Consolas"/>
                <w:color w:val="FF7900"/>
                <w:sz w:val="14"/>
                <w:szCs w:val="14"/>
              </w:rPr>
              <w:t xml:space="preserve">https://www.keycloak.org/documentation</w:t>
            </w:r>
          </w:p>
        </w:tc>
        <w:tc>
          <w:tcPr>
            <w:tcW w:type="dxa" w:w="3338"/>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Open source</w:t>
            </w:r>
          </w:p>
        </w:tc>
      </w:tr>
      <w:tr>
        <w:tc>
          <w:tcPr>
            <w:tcW w:type="dxa" w:w="6300"/>
            <w:shd w:fill="FAFAFA" w:color="auto" w:val="clear"/>
            <w:tcMar>
              <w:top w:type="dxa" w:w="120"/>
              <w:left w:type="dxa" w:w="130"/>
              <w:bottom w:type="dxa" w:w="120"/>
              <w:right w:type="dxa" w:w="130"/>
            </w:tcMar>
          </w:tcPr>
          <w:p>
            <w:pPr>
              <w:spacing w:after="50"/>
            </w:pPr>
            <w:hyperlink w:history="1" r:id="rIdisxrd63ueju2c5ymwxn7g">
              <w:r>
                <w:rPr>
                  <w:rFonts w:ascii="Arial" w:cs="Arial" w:eastAsia="Arial" w:hAnsi="Arial"/>
                  <w:b/>
                  <w:bCs/>
                  <w:color w:val="000000"/>
                  <w:sz w:val="19"/>
                  <w:szCs w:val="19"/>
                  <w:u w:val="single"/>
                </w:rPr>
                <w:t xml:space="preserve">OpenBao — Documentation</w:t>
              </w:r>
            </w:hyperlink>
          </w:p>
          <w:p>
            <w:pPr>
              <w:spacing w:after="50" w:line="252"/>
            </w:pPr>
            <w:r>
              <w:rPr>
                <w:rFonts w:ascii="Arial" w:cs="Arial" w:eastAsia="Arial" w:hAnsi="Arial"/>
                <w:i w:val="false"/>
                <w:iCs w:val="false"/>
                <w:color w:val="666666"/>
                <w:sz w:val="17"/>
                <w:szCs w:val="17"/>
              </w:rPr>
              <w:t xml:space="preserve">Le fork open source de Vault. Méthode d’authentification Kubernetes et secrets dynamiques : la démonstration la plus parlante du « zéro secret statique ». La documentation Vault équivalente reste applicable.</w:t>
            </w:r>
          </w:p>
          <w:p>
            <w:pPr>
              <w:spacing w:after="0"/>
            </w:pPr>
            <w:r>
              <w:rPr>
                <w:rFonts w:ascii="Consolas" w:cs="Consolas" w:eastAsia="Consolas" w:hAnsi="Consolas"/>
                <w:color w:val="FF7900"/>
                <w:sz w:val="14"/>
                <w:szCs w:val="14"/>
              </w:rPr>
              <w:t xml:space="preserve">https://openbao.org/docs/</w:t>
            </w:r>
          </w:p>
        </w:tc>
        <w:tc>
          <w:tcPr>
            <w:tcW w:type="dxa" w:w="3338"/>
            <w:shd w:fill="FAFAFA" w:color="auto" w:val="clear"/>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Linux Foundation</w:t>
            </w:r>
          </w:p>
        </w:tc>
      </w:tr>
      <w:tr>
        <w:tc>
          <w:tcPr>
            <w:tcW w:type="dxa" w:w="6300"/>
            <w:tcMar>
              <w:top w:type="dxa" w:w="120"/>
              <w:left w:type="dxa" w:w="130"/>
              <w:bottom w:type="dxa" w:w="120"/>
              <w:right w:type="dxa" w:w="130"/>
            </w:tcMar>
          </w:tcPr>
          <w:p>
            <w:pPr>
              <w:spacing w:after="50"/>
            </w:pPr>
            <w:hyperlink w:history="1" r:id="rIdauwwu_ildohawb7xxgfrx">
              <w:r>
                <w:rPr>
                  <w:rFonts w:ascii="Arial" w:cs="Arial" w:eastAsia="Arial" w:hAnsi="Arial"/>
                  <w:b/>
                  <w:bCs/>
                  <w:color w:val="000000"/>
                  <w:sz w:val="19"/>
                  <w:szCs w:val="19"/>
                  <w:u w:val="single"/>
                </w:rPr>
                <w:t xml:space="preserve">MinIO — Documentation</w:t>
              </w:r>
            </w:hyperlink>
          </w:p>
          <w:p>
            <w:pPr>
              <w:spacing w:after="50" w:line="252"/>
            </w:pPr>
            <w:r>
              <w:rPr>
                <w:rFonts w:ascii="Arial" w:cs="Arial" w:eastAsia="Arial" w:hAnsi="Arial"/>
                <w:i w:val="false"/>
                <w:iCs w:val="false"/>
                <w:color w:val="666666"/>
                <w:sz w:val="17"/>
                <w:szCs w:val="17"/>
              </w:rPr>
              <w:t xml:space="preserve">Section Security Token Service : MinIO accepte un jeton d’identité fédéré et rend des credentials temporaires. Le motif reproduit intégralement sur infrastructure interne.</w:t>
            </w:r>
          </w:p>
          <w:p>
            <w:pPr>
              <w:spacing w:after="0"/>
            </w:pPr>
            <w:r>
              <w:rPr>
                <w:rFonts w:ascii="Consolas" w:cs="Consolas" w:eastAsia="Consolas" w:hAnsi="Consolas"/>
                <w:color w:val="FF7900"/>
                <w:sz w:val="14"/>
                <w:szCs w:val="14"/>
              </w:rPr>
              <w:t xml:space="preserve">https://min.io/docs/</w:t>
            </w:r>
          </w:p>
        </w:tc>
        <w:tc>
          <w:tcPr>
            <w:tcW w:type="dxa" w:w="3338"/>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Open source</w:t>
            </w:r>
          </w:p>
        </w:tc>
      </w:tr>
    </w:tbl>
    <w:p>
      <w:pPr>
        <w:spacing w:after="150"/>
      </w:pPr>
    </w:p>
    <w:tbl>
      <w:tblPr>
        <w:tblW w:type="dxa" w:w="9638"/>
        <w:tblBorders>
          <w:top w:val="single" w:color="FF7900" w:sz="8"/>
          <w:left w:val="single" w:color="FF7900" w:sz="8"/>
          <w:bottom w:val="single" w:color="FF7900" w:sz="8"/>
          <w:right w:val="single" w:color="FF7900" w:sz="8"/>
          <w:insideH w:val="single" w:color="auto" w:sz="4"/>
          <w:insideV w:val="single" w:color="auto" w:sz="4"/>
        </w:tblBorders>
      </w:tblPr>
      <w:tblGrid>
        <w:gridCol w:w="9638"/>
      </w:tblGrid>
      <w:tr>
        <w:tc>
          <w:tcPr>
            <w:tcW w:type="dxa" w:w="9638"/>
            <w:tcMar>
              <w:top w:type="dxa" w:w="150"/>
              <w:left w:type="dxa" w:w="220"/>
              <w:bottom w:type="dxa" w:w="150"/>
              <w:right w:type="dxa" w:w="220"/>
            </w:tcMar>
          </w:tcPr>
          <w:p>
            <w:pPr>
              <w:spacing w:after="80"/>
            </w:pPr>
            <w:r>
              <w:rPr>
                <w:rFonts w:ascii="Arial" w:cs="Arial" w:eastAsia="Arial" w:hAnsi="Arial"/>
                <w:b/>
                <w:bCs/>
                <w:color w:val="FF7900"/>
                <w:spacing w:val="24"/>
                <w:sz w:val="16"/>
                <w:szCs w:val="16"/>
              </w:rPr>
              <w:t xml:space="preserve">LIVRABLE</w:t>
            </w:r>
          </w:p>
          <w:p>
            <w:pPr>
              <w:spacing w:after="0" w:line="264"/>
            </w:pPr>
            <w:r>
              <w:rPr>
                <w:rFonts w:ascii="Arial" w:cs="Arial" w:eastAsia="Arial" w:hAnsi="Arial"/>
                <w:i w:val="false"/>
                <w:iCs w:val="false"/>
                <w:color w:val="333333"/>
                <w:sz w:val="19"/>
                <w:szCs w:val="19"/>
              </w:rPr>
              <w:t xml:space="preserve">Une démonstration exécutable : une application déployée sur le cluster interne accède à un bucket MinIO et à un secret OpenBao sans aucun secret stocké, identités portées par SPIRE, infrastructure entièrement décrite en Terraform. Accompagnée d’une note de transposition d’une page vers IRSA, Azure Workload Identity et GKE Workload Identity Federation.</w:t>
            </w:r>
          </w:p>
        </w:tc>
      </w:tr>
    </w:tbl>
    <w:p>
      <w:pPr>
        <w:spacing w:after="200"/>
      </w:pPr>
    </w:p>
    <w:p>
      <w:pPr>
        <w:spacing w:after="50" w:before="420"/>
      </w:pPr>
      <w:r>
        <w:rPr>
          <w:rFonts w:ascii="Arial" w:cs="Arial" w:eastAsia="Arial" w:hAnsi="Arial"/>
          <w:b/>
          <w:bCs/>
          <w:color w:val="FF7900"/>
          <w:spacing w:val="24"/>
          <w:sz w:val="16"/>
          <w:szCs w:val="16"/>
        </w:rPr>
        <w:t xml:space="preserve">PHASE 3   </w:t>
      </w:r>
      <w:r>
        <w:rPr>
          <w:rFonts w:ascii="Arial" w:cs="Arial" w:eastAsia="Arial" w:hAnsi="Arial"/>
          <w:color w:val="666666"/>
          <w:spacing w:val="24"/>
          <w:sz w:val="16"/>
          <w:szCs w:val="16"/>
        </w:rPr>
        <w:t xml:space="preserve">Semaines 7 à 10   ·   environ 28 h</w:t>
      </w:r>
    </w:p>
    <w:p>
      <w:pPr>
        <w:spacing w:after="160"/>
      </w:pPr>
      <w:r>
        <w:rPr>
          <w:rFonts w:ascii="Arial" w:cs="Arial" w:eastAsia="Arial" w:hAnsi="Arial"/>
          <w:b/>
          <w:bCs/>
          <w:color w:val="000000"/>
          <w:sz w:val="26"/>
          <w:szCs w:val="26"/>
        </w:rPr>
        <w:t xml:space="preserve">ReBAC</w:t>
      </w:r>
    </w:p>
    <w:tbl>
      <w:tblPr>
        <w:tblW w:type="dxa" w:w="9638"/>
        <w:tblBorders>
          <w:top w:val="none"/>
          <w:left w:val="single" w:color="FF7900" w:sz="24"/>
          <w:bottom w:val="none"/>
          <w:right w:val="none"/>
          <w:insideH w:val="none"/>
          <w:insideV w:val="none"/>
        </w:tblBorders>
      </w:tblPr>
      <w:tblGrid>
        <w:gridCol w:w="9638"/>
      </w:tblGrid>
      <w:tr>
        <w:tc>
          <w:tcPr>
            <w:tcW w:type="dxa" w:w="9638"/>
            <w:shd w:fill="F6F6F6" w:color="auto" w:val="clear"/>
            <w:tcMar>
              <w:top w:type="dxa" w:w="150"/>
              <w:left w:type="dxa" w:w="220"/>
              <w:bottom w:type="dxa" w:w="150"/>
              <w:right w:type="dxa" w:w="220"/>
            </w:tcMar>
          </w:tcPr>
          <w:p>
            <w:pPr>
              <w:spacing w:after="0" w:line="264"/>
            </w:pPr>
            <w:r>
              <w:rPr>
                <w:rFonts w:ascii="Arial" w:cs="Arial" w:eastAsia="Arial" w:hAnsi="Arial"/>
                <w:b/>
                <w:bCs/>
                <w:color w:val="000000"/>
                <w:sz w:val="19"/>
                <w:szCs w:val="19"/>
              </w:rPr>
              <w:t xml:space="preserve">La phase la plus longue, et le seul vrai changement de paradigme.</w:t>
            </w:r>
            <w:r>
              <w:rPr>
                <w:rFonts w:ascii="Arial" w:cs="Arial" w:eastAsia="Arial" w:hAnsi="Arial"/>
                <w:i w:val="false"/>
                <w:iCs w:val="false"/>
                <w:color w:val="333333"/>
                <w:sz w:val="19"/>
                <w:szCs w:val="19"/>
              </w:rPr>
              <w:t xml:space="preserve"> On ne demande plus « quel rôle a cet utilisateur » mais « existe-t-il un chemin dans le graphe entre ce sujet et cet objet ». Le piège classique, quand on vient du RBAC Keycloak, est de modéliser en rôles ce qui doit l’être en relations. Le temps doit donc aller à la </w:t>
            </w:r>
            <w:r>
              <w:rPr>
                <w:rFonts w:ascii="Arial" w:cs="Arial" w:eastAsia="Arial" w:hAnsi="Arial"/>
                <w:b/>
                <w:bCs/>
                <w:color w:val="000000"/>
                <w:sz w:val="19"/>
                <w:szCs w:val="19"/>
              </w:rPr>
              <w:t xml:space="preserve">modélisation</w:t>
            </w:r>
            <w:r>
              <w:rPr>
                <w:rFonts w:ascii="Arial" w:cs="Arial" w:eastAsia="Arial" w:hAnsi="Arial"/>
                <w:i w:val="false"/>
                <w:iCs w:val="false"/>
                <w:color w:val="333333"/>
                <w:sz w:val="19"/>
                <w:szCs w:val="19"/>
              </w:rPr>
              <w:t xml:space="preserve">, pas à l’outillage : écrire un schéma OpenFGA correct est plus difficile que déployer OpenFGA.</w:t>
            </w:r>
          </w:p>
        </w:tc>
      </w:tr>
    </w:tbl>
    <w:p>
      <w:pPr>
        <w:spacing w:after="100"/>
      </w:pPr>
    </w:p>
    <w:p>
      <w:pPr>
        <w:spacing w:after="100" w:before="250"/>
      </w:pPr>
      <w:r>
        <w:rPr>
          <w:rFonts w:ascii="Arial" w:cs="Arial" w:eastAsia="Arial" w:hAnsi="Arial"/>
          <w:b/>
          <w:bCs/>
          <w:color w:val="FF7900"/>
          <w:spacing w:val="24"/>
          <w:sz w:val="16"/>
          <w:szCs w:val="16"/>
        </w:rPr>
        <w:t xml:space="preserve">PROGRESSION</w:t>
      </w:r>
    </w:p>
    <w:p>
      <w:pPr>
        <w:pStyle w:val="ListParagraph"/>
        <w:numPr>
          <w:ilvl w:val="0"/>
          <w:numId w:val="4"/>
        </w:numPr>
        <w:spacing w:after="110" w:line="276"/>
      </w:pPr>
      <w:r>
        <w:rPr>
          <w:rFonts w:ascii="Arial" w:cs="Arial" w:eastAsia="Arial" w:hAnsi="Arial"/>
          <w:b/>
          <w:bCs/>
          <w:color w:val="000000"/>
          <w:sz w:val="20"/>
          <w:szCs w:val="20"/>
        </w:rPr>
        <w:t xml:space="preserve">Semaine 7 — les fondations théoriques.</w:t>
      </w:r>
      <w:r>
        <w:rPr>
          <w:rFonts w:ascii="Arial" w:cs="Arial" w:eastAsia="Arial" w:hAnsi="Arial"/>
          <w:i w:val="false"/>
          <w:iCs w:val="false"/>
          <w:color w:val="333333"/>
          <w:sz w:val="20"/>
          <w:szCs w:val="20"/>
        </w:rPr>
        <w:t xml:space="preserve"> Lire le papier </w:t>
      </w:r>
      <w:r>
        <w:rPr>
          <w:rFonts w:ascii="Arial" w:cs="Arial" w:eastAsia="Arial" w:hAnsi="Arial"/>
          <w:b/>
          <w:bCs/>
          <w:color w:val="000000"/>
          <w:sz w:val="20"/>
          <w:szCs w:val="20"/>
        </w:rPr>
        <w:t xml:space="preserve">Zanzibar</w:t>
      </w:r>
      <w:r>
        <w:rPr>
          <w:rFonts w:ascii="Arial" w:cs="Arial" w:eastAsia="Arial" w:hAnsi="Arial"/>
          <w:i w:val="false"/>
          <w:iCs w:val="false"/>
          <w:color w:val="333333"/>
          <w:sz w:val="20"/>
          <w:szCs w:val="20"/>
        </w:rPr>
        <w:t xml:space="preserve"> de Google, source de tout l’écosystème. Tuples de relation, modèle d’autorisation comme graphe, compromis cohérence / latence (les zookies). Poser par écrit la différence RBAC / ABAC / ReBAC avec des exemples issus de missions réelles.</w:t>
      </w:r>
    </w:p>
    <w:p>
      <w:pPr>
        <w:pStyle w:val="ListParagraph"/>
        <w:numPr>
          <w:ilvl w:val="0"/>
          <w:numId w:val="4"/>
        </w:numPr>
        <w:spacing w:after="110" w:line="276"/>
      </w:pPr>
      <w:r>
        <w:rPr>
          <w:rFonts w:ascii="Arial" w:cs="Arial" w:eastAsia="Arial" w:hAnsi="Arial"/>
          <w:b/>
          <w:bCs/>
          <w:color w:val="000000"/>
          <w:sz w:val="20"/>
          <w:szCs w:val="20"/>
        </w:rPr>
        <w:t xml:space="preserve">Semaine 8 — OpenFGA en pratique.</w:t>
      </w:r>
      <w:r>
        <w:rPr>
          <w:rFonts w:ascii="Arial" w:cs="Arial" w:eastAsia="Arial" w:hAnsi="Arial"/>
          <w:i w:val="false"/>
          <w:iCs w:val="false"/>
          <w:color w:val="333333"/>
          <w:sz w:val="20"/>
          <w:szCs w:val="20"/>
        </w:rPr>
        <w:t xml:space="preserve"> Le moteur le plus demandé (projet CNCF, issu d’Auth0). Langage de modélisation, types, relations, check, list-objects. Travailler dans le Playground — utilisable en local via Docker — avant d’écrire la moindre ligne d’intégration.</w:t>
      </w:r>
    </w:p>
    <w:p>
      <w:pPr>
        <w:pStyle w:val="ListParagraph"/>
        <w:numPr>
          <w:ilvl w:val="0"/>
          <w:numId w:val="4"/>
        </w:numPr>
        <w:spacing w:after="110" w:line="276"/>
      </w:pPr>
      <w:r>
        <w:rPr>
          <w:rFonts w:ascii="Arial" w:cs="Arial" w:eastAsia="Arial" w:hAnsi="Arial"/>
          <w:b/>
          <w:bCs/>
          <w:color w:val="000000"/>
          <w:sz w:val="20"/>
          <w:szCs w:val="20"/>
        </w:rPr>
        <w:t xml:space="preserve">Semaine 9 — modélisation avancée.</w:t>
      </w:r>
      <w:r>
        <w:rPr>
          <w:rFonts w:ascii="Arial" w:cs="Arial" w:eastAsia="Arial" w:hAnsi="Arial"/>
          <w:i w:val="false"/>
          <w:iCs w:val="false"/>
          <w:color w:val="333333"/>
          <w:sz w:val="20"/>
          <w:szCs w:val="20"/>
        </w:rPr>
        <w:t xml:space="preserve"> La semaine décisive. Hiérarchies (dossier vers document), héritage, groupes imbriqués, propriété, permissions publiques, exclusions. Modéliser un cas réel complet : multi-tenant avec délégation — précisément le type de sujet où le RBAC de Keycloak atteint ses limites.</w:t>
      </w:r>
    </w:p>
    <w:p>
      <w:pPr>
        <w:pStyle w:val="ListParagraph"/>
        <w:numPr>
          <w:ilvl w:val="0"/>
          <w:numId w:val="4"/>
        </w:numPr>
        <w:spacing w:after="110" w:line="276"/>
      </w:pPr>
      <w:r>
        <w:rPr>
          <w:rFonts w:ascii="Arial" w:cs="Arial" w:eastAsia="Arial" w:hAnsi="Arial"/>
          <w:b/>
          <w:bCs/>
          <w:color w:val="000000"/>
          <w:sz w:val="20"/>
          <w:szCs w:val="20"/>
        </w:rPr>
        <w:t xml:space="preserve">Semaine 10 — écosystème et architecture.</w:t>
      </w:r>
      <w:r>
        <w:rPr>
          <w:rFonts w:ascii="Arial" w:cs="Arial" w:eastAsia="Arial" w:hAnsi="Arial"/>
          <w:i w:val="false"/>
          <w:iCs w:val="false"/>
          <w:color w:val="333333"/>
          <w:sz w:val="20"/>
          <w:szCs w:val="20"/>
        </w:rPr>
        <w:t xml:space="preserve"> </w:t>
      </w:r>
      <w:r>
        <w:rPr>
          <w:rFonts w:ascii="Arial" w:cs="Arial" w:eastAsia="Arial" w:hAnsi="Arial"/>
          <w:b/>
          <w:bCs/>
          <w:color w:val="000000"/>
          <w:sz w:val="20"/>
          <w:szCs w:val="20"/>
        </w:rPr>
        <w:t xml:space="preserve">SpiceDB</w:t>
      </w:r>
      <w:r>
        <w:rPr>
          <w:rFonts w:ascii="Arial" w:cs="Arial" w:eastAsia="Arial" w:hAnsi="Arial"/>
          <w:i w:val="false"/>
          <w:iCs w:val="false"/>
          <w:color w:val="333333"/>
          <w:sz w:val="20"/>
          <w:szCs w:val="20"/>
        </w:rPr>
        <w:t xml:space="preserve"> (Authzed) et </w:t>
      </w:r>
      <w:r>
        <w:rPr>
          <w:rFonts w:ascii="Arial" w:cs="Arial" w:eastAsia="Arial" w:hAnsi="Arial"/>
          <w:b/>
          <w:bCs/>
          <w:color w:val="000000"/>
          <w:sz w:val="20"/>
          <w:szCs w:val="20"/>
        </w:rPr>
        <w:t xml:space="preserve">Ory Keto</w:t>
      </w:r>
      <w:r>
        <w:rPr>
          <w:rFonts w:ascii="Arial" w:cs="Arial" w:eastAsia="Arial" w:hAnsi="Arial"/>
          <w:i w:val="false"/>
          <w:iCs w:val="false"/>
          <w:color w:val="333333"/>
          <w:sz w:val="20"/>
          <w:szCs w:val="20"/>
        </w:rPr>
        <w:t xml:space="preserve"> en comparatif. Puis l’architecture d’intégration : où placer le point de décision (PDP) par rapport à l’API Gateway et à Keycloak, et comment l’authentification (Keycloak) et l’autorisation (ReBAC) se répartissent le travail.</w:t>
      </w:r>
    </w:p>
    <w:p>
      <w:pPr>
        <w:spacing w:after="100" w:before="250"/>
      </w:pPr>
      <w:r>
        <w:rPr>
          <w:rFonts w:ascii="Arial" w:cs="Arial" w:eastAsia="Arial" w:hAnsi="Arial"/>
          <w:b/>
          <w:bCs/>
          <w:color w:val="FF7900"/>
          <w:spacing w:val="24"/>
          <w:sz w:val="16"/>
          <w:szCs w:val="16"/>
        </w:rPr>
        <w:t xml:space="preserve">RESSOURCES GRATUITES</w:t>
      </w:r>
    </w:p>
    <w:tbl>
      <w:tblPr>
        <w:tblW w:type="dxa" w:w="9638"/>
        <w:tblBorders>
          <w:top w:val="single" w:color="000000" w:sz="8"/>
          <w:left w:val="none"/>
          <w:bottom w:val="single" w:color="FF7900" w:sz="8"/>
          <w:right w:val="none"/>
          <w:insideH w:val="single" w:color="CCCCCC" w:sz="2"/>
          <w:insideV w:val="none"/>
        </w:tblBorders>
      </w:tblPr>
      <w:tblGrid>
        <w:gridCol w:w="6300"/>
        <w:gridCol w:w="3338"/>
      </w:tblGrid>
      <w:tr>
        <w:tc>
          <w:tcPr>
            <w:tcW w:type="dxa" w:w="6300"/>
            <w:tcMar>
              <w:top w:type="dxa" w:w="120"/>
              <w:left w:type="dxa" w:w="130"/>
              <w:bottom w:type="dxa" w:w="120"/>
              <w:right w:type="dxa" w:w="130"/>
            </w:tcMar>
          </w:tcPr>
          <w:p>
            <w:pPr>
              <w:spacing w:after="50"/>
            </w:pPr>
            <w:hyperlink w:history="1" r:id="rIdkgakfl1r8vywbtg7mksvu">
              <w:r>
                <w:rPr>
                  <w:rFonts w:ascii="Arial" w:cs="Arial" w:eastAsia="Arial" w:hAnsi="Arial"/>
                  <w:b/>
                  <w:bCs/>
                  <w:color w:val="000000"/>
                  <w:sz w:val="19"/>
                  <w:szCs w:val="19"/>
                  <w:u w:val="single"/>
                </w:rPr>
                <w:t xml:space="preserve">Zanzibar — Google’s Consistent, Global Authorization System</w:t>
              </w:r>
            </w:hyperlink>
          </w:p>
          <w:p>
            <w:pPr>
              <w:spacing w:after="50" w:line="252"/>
            </w:pPr>
            <w:r>
              <w:rPr>
                <w:rFonts w:ascii="Arial" w:cs="Arial" w:eastAsia="Arial" w:hAnsi="Arial"/>
                <w:i w:val="false"/>
                <w:iCs w:val="false"/>
                <w:color w:val="666666"/>
                <w:sz w:val="17"/>
                <w:szCs w:val="17"/>
              </w:rPr>
              <w:t xml:space="preserve">USENIX ATC ’19, en accès libre (article et présentation). Tout l’écosystème ReBAC en descend. À lire en premier, avant tout outil.</w:t>
            </w:r>
          </w:p>
          <w:p>
            <w:pPr>
              <w:spacing w:after="0"/>
            </w:pPr>
            <w:r>
              <w:rPr>
                <w:rFonts w:ascii="Consolas" w:cs="Consolas" w:eastAsia="Consolas" w:hAnsi="Consolas"/>
                <w:color w:val="FF7900"/>
                <w:sz w:val="14"/>
                <w:szCs w:val="14"/>
              </w:rPr>
              <w:t xml:space="preserve">https://www.usenix.org/conference/atc19/presentation/pang</w:t>
            </w:r>
          </w:p>
        </w:tc>
        <w:tc>
          <w:tcPr>
            <w:tcW w:type="dxa" w:w="3338"/>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Papier fondateur</w:t>
            </w:r>
          </w:p>
        </w:tc>
      </w:tr>
      <w:tr>
        <w:tc>
          <w:tcPr>
            <w:tcW w:type="dxa" w:w="6300"/>
            <w:shd w:fill="FAFAFA" w:color="auto" w:val="clear"/>
            <w:tcMar>
              <w:top w:type="dxa" w:w="120"/>
              <w:left w:type="dxa" w:w="130"/>
              <w:bottom w:type="dxa" w:w="120"/>
              <w:right w:type="dxa" w:w="130"/>
            </w:tcMar>
          </w:tcPr>
          <w:p>
            <w:pPr>
              <w:spacing w:after="50"/>
            </w:pPr>
            <w:hyperlink w:history="1" r:id="rId0zlgxyllleqtenl3uq1uo">
              <w:r>
                <w:rPr>
                  <w:rFonts w:ascii="Arial" w:cs="Arial" w:eastAsia="Arial" w:hAnsi="Arial"/>
                  <w:b/>
                  <w:bCs/>
                  <w:color w:val="000000"/>
                  <w:sz w:val="19"/>
                  <w:szCs w:val="19"/>
                  <w:u w:val="single"/>
                </w:rPr>
                <w:t xml:space="preserve">OpenFGA — Documentation</w:t>
              </w:r>
            </w:hyperlink>
          </w:p>
          <w:p>
            <w:pPr>
              <w:spacing w:after="50" w:line="252"/>
            </w:pPr>
            <w:r>
              <w:rPr>
                <w:rFonts w:ascii="Arial" w:cs="Arial" w:eastAsia="Arial" w:hAnsi="Arial"/>
                <w:i w:val="false"/>
                <w:iCs w:val="false"/>
                <w:color w:val="666666"/>
                <w:sz w:val="17"/>
                <w:szCs w:val="17"/>
              </w:rPr>
              <w:t xml:space="preserve">Documentation officielle. La section Modeling (openfga.dev/docs/modeling) est remarquablement pédagogique et progressive : c’est le cœur de la phase. S’exécute intégralement en conteneur local.</w:t>
            </w:r>
          </w:p>
          <w:p>
            <w:pPr>
              <w:spacing w:after="0"/>
            </w:pPr>
            <w:r>
              <w:rPr>
                <w:rFonts w:ascii="Consolas" w:cs="Consolas" w:eastAsia="Consolas" w:hAnsi="Consolas"/>
                <w:color w:val="FF7900"/>
                <w:sz w:val="14"/>
                <w:szCs w:val="14"/>
              </w:rPr>
              <w:t xml:space="preserve">https://openfga.dev/docs</w:t>
            </w:r>
          </w:p>
        </w:tc>
        <w:tc>
          <w:tcPr>
            <w:tcW w:type="dxa" w:w="3338"/>
            <w:shd w:fill="FAFAFA" w:color="auto" w:val="clear"/>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Projet CNCF</w:t>
            </w:r>
          </w:p>
        </w:tc>
      </w:tr>
      <w:tr>
        <w:tc>
          <w:tcPr>
            <w:tcW w:type="dxa" w:w="6300"/>
            <w:tcMar>
              <w:top w:type="dxa" w:w="120"/>
              <w:left w:type="dxa" w:w="130"/>
              <w:bottom w:type="dxa" w:w="120"/>
              <w:right w:type="dxa" w:w="130"/>
            </w:tcMar>
          </w:tcPr>
          <w:p>
            <w:pPr>
              <w:spacing w:after="50"/>
            </w:pPr>
            <w:hyperlink w:history="1" r:id="rId5gf6mxj_tjcnwynn1vdh6">
              <w:r>
                <w:rPr>
                  <w:rFonts w:ascii="Arial" w:cs="Arial" w:eastAsia="Arial" w:hAnsi="Arial"/>
                  <w:b/>
                  <w:bCs/>
                  <w:color w:val="000000"/>
                  <w:sz w:val="19"/>
                  <w:szCs w:val="19"/>
                  <w:u w:val="single"/>
                </w:rPr>
                <w:t xml:space="preserve">OpenFGA Playground</w:t>
              </w:r>
            </w:hyperlink>
          </w:p>
          <w:p>
            <w:pPr>
              <w:spacing w:after="50" w:line="252"/>
            </w:pPr>
            <w:r>
              <w:rPr>
                <w:rFonts w:ascii="Arial" w:cs="Arial" w:eastAsia="Arial" w:hAnsi="Arial"/>
                <w:i w:val="false"/>
                <w:iCs w:val="false"/>
                <w:color w:val="666666"/>
                <w:sz w:val="17"/>
                <w:szCs w:val="17"/>
              </w:rPr>
              <w:t xml:space="preserve">Écrire et tester un modèle d’autorisation dans le navigateur. Également disponible en local via Docker, ce qui permet de travailler sans rien envoyer à l’extérieur. À utiliser massivement en semaines 8 et 9.</w:t>
            </w:r>
          </w:p>
          <w:p>
            <w:pPr>
              <w:spacing w:after="0"/>
            </w:pPr>
            <w:r>
              <w:rPr>
                <w:rFonts w:ascii="Consolas" w:cs="Consolas" w:eastAsia="Consolas" w:hAnsi="Consolas"/>
                <w:color w:val="FF7900"/>
                <w:sz w:val="14"/>
                <w:szCs w:val="14"/>
              </w:rPr>
              <w:t xml:space="preserve">https://play.fga.dev/</w:t>
            </w:r>
          </w:p>
        </w:tc>
        <w:tc>
          <w:tcPr>
            <w:tcW w:type="dxa" w:w="3338"/>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Bac à sable</w:t>
            </w:r>
          </w:p>
        </w:tc>
      </w:tr>
      <w:tr>
        <w:tc>
          <w:tcPr>
            <w:tcW w:type="dxa" w:w="6300"/>
            <w:shd w:fill="FAFAFA" w:color="auto" w:val="clear"/>
            <w:tcMar>
              <w:top w:type="dxa" w:w="120"/>
              <w:left w:type="dxa" w:w="130"/>
              <w:bottom w:type="dxa" w:w="120"/>
              <w:right w:type="dxa" w:w="130"/>
            </w:tcMar>
          </w:tcPr>
          <w:p>
            <w:pPr>
              <w:spacing w:after="50"/>
            </w:pPr>
            <w:hyperlink w:history="1" r:id="rIdpfri3_sqwikaeg9mgsfii">
              <w:r>
                <w:rPr>
                  <w:rFonts w:ascii="Arial" w:cs="Arial" w:eastAsia="Arial" w:hAnsi="Arial"/>
                  <w:b/>
                  <w:bCs/>
                  <w:color w:val="000000"/>
                  <w:sz w:val="19"/>
                  <w:szCs w:val="19"/>
                  <w:u w:val="single"/>
                </w:rPr>
                <w:t xml:space="preserve">SpiceDB — Documentation Authzed</w:t>
              </w:r>
            </w:hyperlink>
          </w:p>
          <w:p>
            <w:pPr>
              <w:spacing w:after="50" w:line="252"/>
            </w:pPr>
            <w:r>
              <w:rPr>
                <w:rFonts w:ascii="Arial" w:cs="Arial" w:eastAsia="Arial" w:hAnsi="Arial"/>
                <w:i w:val="false"/>
                <w:iCs w:val="false"/>
                <w:color w:val="666666"/>
                <w:sz w:val="17"/>
                <w:szCs w:val="17"/>
              </w:rPr>
              <w:t xml:space="preserve">L’autre implémentation majeure, citée dans le profil de poste. Playground disponible sur play.authzed.com, et le serveur s’auto-héberge.</w:t>
            </w:r>
          </w:p>
          <w:p>
            <w:pPr>
              <w:spacing w:after="0"/>
            </w:pPr>
            <w:r>
              <w:rPr>
                <w:rFonts w:ascii="Consolas" w:cs="Consolas" w:eastAsia="Consolas" w:hAnsi="Consolas"/>
                <w:color w:val="FF7900"/>
                <w:sz w:val="14"/>
                <w:szCs w:val="14"/>
              </w:rPr>
              <w:t xml:space="preserve">https://authzed.com/docs</w:t>
            </w:r>
          </w:p>
        </w:tc>
        <w:tc>
          <w:tcPr>
            <w:tcW w:type="dxa" w:w="3338"/>
            <w:shd w:fill="FAFAFA" w:color="auto" w:val="clear"/>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Open source</w:t>
            </w:r>
          </w:p>
        </w:tc>
      </w:tr>
      <w:tr>
        <w:tc>
          <w:tcPr>
            <w:tcW w:type="dxa" w:w="6300"/>
            <w:tcMar>
              <w:top w:type="dxa" w:w="120"/>
              <w:left w:type="dxa" w:w="130"/>
              <w:bottom w:type="dxa" w:w="120"/>
              <w:right w:type="dxa" w:w="130"/>
            </w:tcMar>
          </w:tcPr>
          <w:p>
            <w:pPr>
              <w:spacing w:after="50"/>
            </w:pPr>
            <w:hyperlink w:history="1" r:id="rIdeuafq5j2jyun3uu_vasz-">
              <w:r>
                <w:rPr>
                  <w:rFonts w:ascii="Arial" w:cs="Arial" w:eastAsia="Arial" w:hAnsi="Arial"/>
                  <w:b/>
                  <w:bCs/>
                  <w:color w:val="000000"/>
                  <w:sz w:val="19"/>
                  <w:szCs w:val="19"/>
                  <w:u w:val="single"/>
                </w:rPr>
                <w:t xml:space="preserve">Ory Keto — Documentation</w:t>
              </w:r>
            </w:hyperlink>
          </w:p>
          <w:p>
            <w:pPr>
              <w:spacing w:after="50" w:line="252"/>
            </w:pPr>
            <w:r>
              <w:rPr>
                <w:rFonts w:ascii="Arial" w:cs="Arial" w:eastAsia="Arial" w:hAnsi="Arial"/>
                <w:i w:val="false"/>
                <w:iCs w:val="false"/>
                <w:color w:val="666666"/>
                <w:sz w:val="17"/>
                <w:szCs w:val="17"/>
              </w:rPr>
              <w:t xml:space="preserve">L’implémentation Ory. Le poste mentionnant « Keycloak et/ou Ory », savoir positionner Keto face à OpenFGA est directement utile en entretien client.</w:t>
            </w:r>
          </w:p>
          <w:p>
            <w:pPr>
              <w:spacing w:after="0"/>
            </w:pPr>
            <w:r>
              <w:rPr>
                <w:rFonts w:ascii="Consolas" w:cs="Consolas" w:eastAsia="Consolas" w:hAnsi="Consolas"/>
                <w:color w:val="FF7900"/>
                <w:sz w:val="14"/>
                <w:szCs w:val="14"/>
              </w:rPr>
              <w:t xml:space="preserve">https://www.ory.sh/docs/keto</w:t>
            </w:r>
          </w:p>
        </w:tc>
        <w:tc>
          <w:tcPr>
            <w:tcW w:type="dxa" w:w="3338"/>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Open source</w:t>
            </w:r>
          </w:p>
        </w:tc>
      </w:tr>
    </w:tbl>
    <w:p>
      <w:pPr>
        <w:spacing w:after="150"/>
      </w:pPr>
    </w:p>
    <w:tbl>
      <w:tblPr>
        <w:tblW w:type="dxa" w:w="9638"/>
        <w:tblBorders>
          <w:top w:val="single" w:color="FF7900" w:sz="8"/>
          <w:left w:val="single" w:color="FF7900" w:sz="8"/>
          <w:bottom w:val="single" w:color="FF7900" w:sz="8"/>
          <w:right w:val="single" w:color="FF7900" w:sz="8"/>
          <w:insideH w:val="single" w:color="auto" w:sz="4"/>
          <w:insideV w:val="single" w:color="auto" w:sz="4"/>
        </w:tblBorders>
      </w:tblPr>
      <w:tblGrid>
        <w:gridCol w:w="9638"/>
      </w:tblGrid>
      <w:tr>
        <w:tc>
          <w:tcPr>
            <w:tcW w:type="dxa" w:w="9638"/>
            <w:tcMar>
              <w:top w:type="dxa" w:w="150"/>
              <w:left w:type="dxa" w:w="220"/>
              <w:bottom w:type="dxa" w:w="150"/>
              <w:right w:type="dxa" w:w="220"/>
            </w:tcMar>
          </w:tcPr>
          <w:p>
            <w:pPr>
              <w:spacing w:after="80"/>
            </w:pPr>
            <w:r>
              <w:rPr>
                <w:rFonts w:ascii="Arial" w:cs="Arial" w:eastAsia="Arial" w:hAnsi="Arial"/>
                <w:b/>
                <w:bCs/>
                <w:color w:val="FF7900"/>
                <w:spacing w:val="24"/>
                <w:sz w:val="16"/>
                <w:szCs w:val="16"/>
              </w:rPr>
              <w:t xml:space="preserve">LIVRABLE</w:t>
            </w:r>
          </w:p>
          <w:p>
            <w:pPr>
              <w:spacing w:after="0" w:line="264"/>
            </w:pPr>
            <w:r>
              <w:rPr>
                <w:rFonts w:ascii="Arial" w:cs="Arial" w:eastAsia="Arial" w:hAnsi="Arial"/>
                <w:i w:val="false"/>
                <w:iCs w:val="false"/>
                <w:color w:val="333333"/>
                <w:sz w:val="19"/>
                <w:szCs w:val="19"/>
              </w:rPr>
              <w:t xml:space="preserve">Un modèle d’autorisation ReBAC complet pour une application multi-tenant, documenté, avec ses tests de check, et une note d’architecture positionnant le PDP face à Keycloak et à l’API Gateway.</w:t>
            </w:r>
          </w:p>
        </w:tc>
      </w:tr>
    </w:tbl>
    <w:p>
      <w:pPr>
        <w:spacing w:after="200"/>
      </w:pPr>
    </w:p>
    <w:p>
      <w:pPr>
        <w:pStyle w:val="Heading1"/>
        <w:pBdr>
          <w:bottom w:val="single" w:color="FF7900" w:sz="12" w:space="8"/>
        </w:pBdr>
        <w:spacing w:after="170" w:before="420"/>
      </w:pPr>
      <w:r>
        <w:rPr>
          <w:rFonts w:ascii="Arial" w:cs="Arial" w:eastAsia="Arial" w:hAnsi="Arial"/>
          <w:b/>
          <w:bCs/>
          <w:color w:val="000000"/>
          <w:sz w:val="28"/>
          <w:szCs w:val="28"/>
        </w:rPr>
        <w:t xml:space="preserve">4. Projet de synthèse</w:t>
      </w:r>
    </w:p>
    <w:p>
      <w:pPr>
        <w:spacing w:after="140" w:before="0" w:line="276"/>
      </w:pPr>
      <w:r>
        <w:rPr>
          <w:rFonts w:ascii="Arial" w:cs="Arial" w:eastAsia="Arial" w:hAnsi="Arial"/>
          <w:i w:val="false"/>
          <w:iCs w:val="false"/>
          <w:color w:val="333333"/>
          <w:sz w:val="20"/>
          <w:szCs w:val="20"/>
        </w:rPr>
        <w:t xml:space="preserve">À faire courir en fond dès la semaine 3, et à finaliser en semaine 10. C’est ce qui transforme trois compétences apprises séparément en une référence démontrable devant un client — et ce qui restera de ce parcours.</w:t>
      </w:r>
    </w:p>
    <w:p>
      <w:pPr>
        <w:pStyle w:val="Heading2"/>
        <w:spacing w:after="120" w:before="300"/>
      </w:pPr>
      <w:r>
        <w:rPr>
          <w:rFonts w:ascii="Arial" w:cs="Arial" w:eastAsia="Arial" w:hAnsi="Arial"/>
          <w:b/>
          <w:bCs/>
          <w:color w:val="000000"/>
          <w:sz w:val="24"/>
          <w:szCs w:val="24"/>
        </w:rPr>
        <w:t xml:space="preserve">Plateforme d’autorisation souveraine de démonstration</w:t>
      </w:r>
    </w:p>
    <w:p>
      <w:pPr>
        <w:pStyle w:val="ListParagraph"/>
        <w:numPr>
          <w:ilvl w:val="0"/>
          <w:numId w:val="5"/>
        </w:numPr>
        <w:spacing w:after="90" w:line="276"/>
      </w:pPr>
      <w:r>
        <w:rPr>
          <w:rFonts w:ascii="Arial" w:cs="Arial" w:eastAsia="Arial" w:hAnsi="Arial"/>
          <w:b/>
          <w:bCs/>
          <w:color w:val="000000"/>
          <w:sz w:val="20"/>
          <w:szCs w:val="20"/>
        </w:rPr>
        <w:t xml:space="preserve">Infrastructure</w:t>
      </w:r>
      <w:r>
        <w:rPr>
          <w:rFonts w:ascii="Arial" w:cs="Arial" w:eastAsia="Arial" w:hAnsi="Arial"/>
          <w:i w:val="false"/>
          <w:iCs w:val="false"/>
          <w:color w:val="333333"/>
          <w:sz w:val="20"/>
          <w:szCs w:val="20"/>
        </w:rPr>
        <w:t xml:space="preserve"> décrite intégralement en Terraform / OpenTofu, déployée sur les moyens internes (Proxmox ou OpenStack).</w:t>
      </w:r>
    </w:p>
    <w:p>
      <w:pPr>
        <w:pStyle w:val="ListParagraph"/>
        <w:numPr>
          <w:ilvl w:val="0"/>
          <w:numId w:val="5"/>
        </w:numPr>
        <w:spacing w:after="90" w:line="276"/>
      </w:pPr>
      <w:r>
        <w:rPr>
          <w:rFonts w:ascii="Arial" w:cs="Arial" w:eastAsia="Arial" w:hAnsi="Arial"/>
          <w:b/>
          <w:bCs/>
          <w:color w:val="000000"/>
          <w:sz w:val="20"/>
          <w:szCs w:val="20"/>
        </w:rPr>
        <w:t xml:space="preserve">Authentification</w:t>
      </w:r>
      <w:r>
        <w:rPr>
          <w:rFonts w:ascii="Arial" w:cs="Arial" w:eastAsia="Arial" w:hAnsi="Arial"/>
          <w:i w:val="false"/>
          <w:iCs w:val="false"/>
          <w:color w:val="333333"/>
          <w:sz w:val="20"/>
          <w:szCs w:val="20"/>
        </w:rPr>
        <w:t xml:space="preserve"> par Keycloak — le terrain de compétence historique, valorisé et non contourné.</w:t>
      </w:r>
    </w:p>
    <w:p>
      <w:pPr>
        <w:pStyle w:val="ListParagraph"/>
        <w:numPr>
          <w:ilvl w:val="0"/>
          <w:numId w:val="5"/>
        </w:numPr>
        <w:spacing w:after="90" w:line="276"/>
      </w:pPr>
      <w:r>
        <w:rPr>
          <w:rFonts w:ascii="Arial" w:cs="Arial" w:eastAsia="Arial" w:hAnsi="Arial"/>
          <w:b/>
          <w:bCs/>
          <w:color w:val="000000"/>
          <w:sz w:val="20"/>
          <w:szCs w:val="20"/>
        </w:rPr>
        <w:t xml:space="preserve">Autorisation</w:t>
      </w:r>
      <w:r>
        <w:rPr>
          <w:rFonts w:ascii="Arial" w:cs="Arial" w:eastAsia="Arial" w:hAnsi="Arial"/>
          <w:i w:val="false"/>
          <w:iCs w:val="false"/>
          <w:color w:val="333333"/>
          <w:sz w:val="20"/>
          <w:szCs w:val="20"/>
        </w:rPr>
        <w:t xml:space="preserve"> déléguée à OpenFGA, avec un modèle relationnel documenté.</w:t>
      </w:r>
    </w:p>
    <w:p>
      <w:pPr>
        <w:pStyle w:val="ListParagraph"/>
        <w:numPr>
          <w:ilvl w:val="0"/>
          <w:numId w:val="5"/>
        </w:numPr>
        <w:spacing w:after="90" w:line="276"/>
      </w:pPr>
      <w:r>
        <w:rPr>
          <w:rFonts w:ascii="Arial" w:cs="Arial" w:eastAsia="Arial" w:hAnsi="Arial"/>
          <w:b/>
          <w:bCs/>
          <w:color w:val="000000"/>
          <w:sz w:val="20"/>
          <w:szCs w:val="20"/>
        </w:rPr>
        <w:t xml:space="preserve">Identité des charges de travail</w:t>
      </w:r>
      <w:r>
        <w:rPr>
          <w:rFonts w:ascii="Arial" w:cs="Arial" w:eastAsia="Arial" w:hAnsi="Arial"/>
          <w:i w:val="false"/>
          <w:iCs w:val="false"/>
          <w:color w:val="333333"/>
          <w:sz w:val="20"/>
          <w:szCs w:val="20"/>
        </w:rPr>
        <w:t xml:space="preserve"> par SPIRE : SVID X.509, rotation automatique, aucun secret statique dans la plateforme.</w:t>
      </w:r>
    </w:p>
    <w:p>
      <w:pPr>
        <w:pStyle w:val="ListParagraph"/>
        <w:numPr>
          <w:ilvl w:val="0"/>
          <w:numId w:val="5"/>
        </w:numPr>
        <w:spacing w:after="90" w:line="276"/>
      </w:pPr>
      <w:r>
        <w:rPr>
          <w:rFonts w:ascii="Arial" w:cs="Arial" w:eastAsia="Arial" w:hAnsi="Arial"/>
          <w:b/>
          <w:bCs/>
          <w:color w:val="000000"/>
          <w:sz w:val="20"/>
          <w:szCs w:val="20"/>
        </w:rPr>
        <w:t xml:space="preserve">Argument commercial</w:t>
      </w:r>
      <w:r>
        <w:rPr>
          <w:rFonts w:ascii="Arial" w:cs="Arial" w:eastAsia="Arial" w:hAnsi="Arial"/>
          <w:i w:val="false"/>
          <w:iCs w:val="false"/>
          <w:color w:val="333333"/>
          <w:sz w:val="20"/>
          <w:szCs w:val="20"/>
        </w:rPr>
        <w:t xml:space="preserve"> : une plateforme d’autorisation moderne qui ne dépend d’aucun hyperscaler — exactement le discours attendu sur les sujets de souveraineté et de sortie de dépendance.</w:t>
      </w:r>
    </w:p>
    <w:p>
      <w:pPr>
        <w:pStyle w:val="ListParagraph"/>
        <w:numPr>
          <w:ilvl w:val="0"/>
          <w:numId w:val="5"/>
        </w:numPr>
        <w:spacing w:after="90" w:line="276"/>
      </w:pPr>
      <w:r>
        <w:rPr>
          <w:rFonts w:ascii="Arial" w:cs="Arial" w:eastAsia="Arial" w:hAnsi="Arial"/>
          <w:b/>
          <w:bCs/>
          <w:color w:val="000000"/>
          <w:sz w:val="20"/>
          <w:szCs w:val="20"/>
        </w:rPr>
        <w:t xml:space="preserve">Point différenciant</w:t>
      </w:r>
      <w:r>
        <w:rPr>
          <w:rFonts w:ascii="Arial" w:cs="Arial" w:eastAsia="Arial" w:hAnsi="Arial"/>
          <w:i w:val="false"/>
          <w:iCs w:val="false"/>
          <w:color w:val="333333"/>
          <w:sz w:val="20"/>
          <w:szCs w:val="20"/>
        </w:rPr>
        <w:t xml:space="preserve"> : la chaîne de confiance expliquée de bout en bout, de l’attestation de la charge de travail jusqu’à la décision d’autorisation. Peu de profils cloud savent la raconter ; un expert PKI, oui.</w:t>
      </w:r>
    </w:p>
    <w:p>
      <w:pPr>
        <w:pStyle w:val="Heading1"/>
        <w:pBdr>
          <w:bottom w:val="single" w:color="FF7900" w:sz="12" w:space="8"/>
        </w:pBdr>
        <w:spacing w:after="170" w:before="420"/>
      </w:pPr>
      <w:r>
        <w:rPr>
          <w:rFonts w:ascii="Arial" w:cs="Arial" w:eastAsia="Arial" w:hAnsi="Arial"/>
          <w:b/>
          <w:bCs/>
          <w:color w:val="000000"/>
          <w:sz w:val="28"/>
          <w:szCs w:val="28"/>
        </w:rPr>
        <w:t xml:space="preserve">5. Jalons et suivi</w:t>
      </w:r>
    </w:p>
    <w:p>
      <w:pPr>
        <w:spacing w:after="140" w:before="0" w:line="276"/>
      </w:pPr>
      <w:r>
        <w:rPr>
          <w:rFonts w:ascii="Arial" w:cs="Arial" w:eastAsia="Arial" w:hAnsi="Arial"/>
          <w:i w:val="false"/>
          <w:iCs w:val="false"/>
          <w:color w:val="333333"/>
          <w:sz w:val="20"/>
          <w:szCs w:val="20"/>
        </w:rPr>
        <w:t xml:space="preserve">Chaque phase se termine par une revue : démonstration du livrable, points ouverts, ajustement du rythme de la suivante.</w:t>
      </w:r>
    </w:p>
    <w:p>
      <w:pPr>
        <w:spacing w:after="100"/>
      </w:pPr>
    </w:p>
    <w:tbl>
      <w:tblPr>
        <w:tblW w:type="dxa" w:w="9638"/>
        <w:tblBorders>
          <w:top w:val="none"/>
          <w:left w:val="none"/>
          <w:bottom w:val="single" w:color="FF7900" w:sz="8"/>
          <w:right w:val="none"/>
          <w:insideH w:val="single" w:color="CCCCCC" w:sz="2"/>
          <w:insideV w:val="none"/>
        </w:tblBorders>
      </w:tblPr>
      <w:tblGrid>
        <w:gridCol w:w="1900"/>
        <w:gridCol w:w="5738"/>
        <w:gridCol w:w="2000"/>
      </w:tblGrid>
      <w:tr>
        <w:trPr>
          <w:tblHeader/>
        </w:trPr>
        <w:tc>
          <w:tcPr>
            <w:tcW w:type="dxa" w:w="19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JALON</w:t>
            </w:r>
          </w:p>
        </w:tc>
        <w:tc>
          <w:tcPr>
            <w:tcW w:type="dxa" w:w="5738"/>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LIVRABLE ATTENDU</w:t>
            </w:r>
          </w:p>
        </w:tc>
        <w:tc>
          <w:tcPr>
            <w:tcW w:type="dxa" w:w="2000"/>
            <w:shd w:fill="000000" w:color="auto" w:val="clear"/>
            <w:tcMar>
              <w:top w:type="dxa" w:w="110"/>
              <w:left w:type="dxa" w:w="130"/>
              <w:bottom w:type="dxa" w:w="110"/>
              <w:right w:type="dxa" w:w="130"/>
            </w:tcMar>
          </w:tcPr>
          <w:p>
            <w:pPr>
              <w:spacing w:after="0"/>
            </w:pPr>
            <w:r>
              <w:rPr>
                <w:rFonts w:ascii="Arial" w:cs="Arial" w:eastAsia="Arial" w:hAnsi="Arial"/>
                <w:b/>
                <w:bCs/>
                <w:color w:val="FFFFFF"/>
                <w:spacing w:val="20"/>
                <w:sz w:val="15"/>
                <w:szCs w:val="15"/>
              </w:rPr>
              <w:t xml:space="preserve">ÉCHÉANCE</w:t>
            </w:r>
          </w:p>
        </w:tc>
      </w:tr>
      <w:tr>
        <w:tc>
          <w:tcPr>
            <w:tcW w:type="dxa" w:w="19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Fin de phase 1</w:t>
            </w:r>
          </w:p>
        </w:tc>
        <w:tc>
          <w:tcPr>
            <w:tcW w:type="dxa" w:w="57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Socle de lab entier déployable par un seul apply</w:t>
            </w:r>
          </w:p>
        </w:tc>
        <w:tc>
          <w:tcPr>
            <w:tcW w:type="dxa" w:w="20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Semaine 3</w:t>
            </w:r>
          </w:p>
        </w:tc>
      </w:tr>
      <w:tr>
        <w:tc>
          <w:tcPr>
            <w:tcW w:type="dxa" w:w="19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Mi-phase 2</w:t>
            </w:r>
          </w:p>
        </w:tc>
        <w:tc>
          <w:tcPr>
            <w:tcW w:type="dxa" w:w="5738"/>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Token Exchange (RFC 8693) mis en œuvre dans Keycloak</w:t>
            </w:r>
          </w:p>
        </w:tc>
        <w:tc>
          <w:tcPr>
            <w:tcW w:type="dxa" w:w="20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Semaine 4</w:t>
            </w:r>
          </w:p>
        </w:tc>
      </w:tr>
      <w:tr>
        <w:tc>
          <w:tcPr>
            <w:tcW w:type="dxa" w:w="19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Fin de phase 2</w:t>
            </w:r>
          </w:p>
        </w:tc>
        <w:tc>
          <w:tcPr>
            <w:tcW w:type="dxa" w:w="57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Démonstration « zéro secret » avec identités portées par SPIRE, et note de transposition vers les offres des hyperscalers</w:t>
            </w:r>
          </w:p>
        </w:tc>
        <w:tc>
          <w:tcPr>
            <w:tcW w:type="dxa" w:w="20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Semaine 6</w:t>
            </w:r>
          </w:p>
        </w:tc>
      </w:tr>
      <w:tr>
        <w:tc>
          <w:tcPr>
            <w:tcW w:type="dxa" w:w="19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Fin de phase 3</w:t>
            </w:r>
          </w:p>
        </w:tc>
        <w:tc>
          <w:tcPr>
            <w:tcW w:type="dxa" w:w="5738"/>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Modèle ReBAC multi-tenant + note d’architecture du PDP</w:t>
            </w:r>
          </w:p>
        </w:tc>
        <w:tc>
          <w:tcPr>
            <w:tcW w:type="dxa" w:w="2000"/>
            <w:shd w:fill="FAFAFA" w:color="auto" w:val="clear"/>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Semaine 10</w:t>
            </w:r>
          </w:p>
        </w:tc>
      </w:tr>
      <w:tr>
        <w:tc>
          <w:tcPr>
            <w:tcW w:type="dxa" w:w="1900"/>
            <w:tcMar>
              <w:top w:type="dxa" w:w="110"/>
              <w:left w:type="dxa" w:w="130"/>
              <w:bottom w:type="dxa" w:w="110"/>
              <w:right w:type="dxa" w:w="130"/>
            </w:tcMar>
          </w:tcPr>
          <w:p>
            <w:pPr>
              <w:spacing w:after="0" w:line="252"/>
            </w:pPr>
            <w:r>
              <w:rPr>
                <w:rFonts w:ascii="Arial" w:cs="Arial" w:eastAsia="Arial" w:hAnsi="Arial"/>
                <w:i w:val="false"/>
                <w:iCs w:val="false"/>
                <w:color w:val="000000"/>
                <w:sz w:val="18"/>
                <w:szCs w:val="18"/>
              </w:rPr>
              <w:t xml:space="preserve">Clôture</w:t>
            </w:r>
          </w:p>
        </w:tc>
        <w:tc>
          <w:tcPr>
            <w:tcW w:type="dxa" w:w="5738"/>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Projet de synthèse présenté en interne</w:t>
            </w:r>
          </w:p>
        </w:tc>
        <w:tc>
          <w:tcPr>
            <w:tcW w:type="dxa" w:w="2000"/>
            <w:tcMar>
              <w:top w:type="dxa" w:w="110"/>
              <w:left w:type="dxa" w:w="130"/>
              <w:bottom w:type="dxa" w:w="110"/>
              <w:right w:type="dxa" w:w="130"/>
            </w:tcMar>
          </w:tcPr>
          <w:p>
            <w:pPr>
              <w:spacing w:after="0" w:line="252"/>
            </w:pPr>
            <w:r>
              <w:rPr>
                <w:rFonts w:ascii="Arial" w:cs="Arial" w:eastAsia="Arial" w:hAnsi="Arial"/>
                <w:i w:val="false"/>
                <w:iCs w:val="false"/>
                <w:color w:val="333333"/>
                <w:sz w:val="18"/>
                <w:szCs w:val="18"/>
              </w:rPr>
              <w:t xml:space="preserve">Semaine 10</w:t>
            </w:r>
          </w:p>
        </w:tc>
      </w:tr>
    </w:tbl>
    <w:p>
      <w:pPr>
        <w:spacing w:after="100" w:before="250"/>
      </w:pPr>
      <w:r>
        <w:rPr>
          <w:rFonts w:ascii="Arial" w:cs="Arial" w:eastAsia="Arial" w:hAnsi="Arial"/>
          <w:b/>
          <w:bCs/>
          <w:color w:val="FF7900"/>
          <w:spacing w:val="24"/>
          <w:sz w:val="16"/>
          <w:szCs w:val="16"/>
        </w:rPr>
        <w:t xml:space="preserve">FONCTIONNEMENT</w:t>
      </w:r>
    </w:p>
    <w:p>
      <w:pPr>
        <w:pStyle w:val="ListParagraph"/>
        <w:numPr>
          <w:ilvl w:val="0"/>
          <w:numId w:val="5"/>
        </w:numPr>
        <w:spacing w:after="90" w:line="276"/>
      </w:pPr>
      <w:r>
        <w:rPr>
          <w:rFonts w:ascii="Arial" w:cs="Arial" w:eastAsia="Arial" w:hAnsi="Arial"/>
          <w:b/>
          <w:bCs/>
          <w:color w:val="000000"/>
          <w:sz w:val="20"/>
          <w:szCs w:val="20"/>
        </w:rPr>
        <w:t xml:space="preserve">Point hebdomadaire de 30 minutes</w:t>
      </w:r>
      <w:r>
        <w:rPr>
          <w:rFonts w:ascii="Arial" w:cs="Arial" w:eastAsia="Arial" w:hAnsi="Arial"/>
          <w:i w:val="false"/>
          <w:iCs w:val="false"/>
          <w:color w:val="333333"/>
          <w:sz w:val="20"/>
          <w:szCs w:val="20"/>
        </w:rPr>
        <w:t xml:space="preserve"> — avancement, blocages, réajustement de la charge selon le taux d’occupation en mission.</w:t>
      </w:r>
    </w:p>
    <w:p>
      <w:pPr>
        <w:pStyle w:val="ListParagraph"/>
        <w:numPr>
          <w:ilvl w:val="0"/>
          <w:numId w:val="5"/>
        </w:numPr>
        <w:spacing w:after="90" w:line="276"/>
      </w:pPr>
      <w:r>
        <w:rPr>
          <w:rFonts w:ascii="Arial" w:cs="Arial" w:eastAsia="Arial" w:hAnsi="Arial"/>
          <w:b/>
          <w:bCs/>
          <w:color w:val="000000"/>
          <w:sz w:val="20"/>
          <w:szCs w:val="20"/>
        </w:rPr>
        <w:t xml:space="preserve">Revue de fin de phase</w:t>
      </w:r>
      <w:r>
        <w:rPr>
          <w:rFonts w:ascii="Arial" w:cs="Arial" w:eastAsia="Arial" w:hAnsi="Arial"/>
          <w:i w:val="false"/>
          <w:iCs w:val="false"/>
          <w:color w:val="333333"/>
          <w:sz w:val="20"/>
          <w:szCs w:val="20"/>
        </w:rPr>
        <w:t xml:space="preserve"> — démonstration du livrable et passage à la phase suivante.</w:t>
      </w:r>
    </w:p>
    <w:p>
      <w:pPr>
        <w:pStyle w:val="ListParagraph"/>
        <w:numPr>
          <w:ilvl w:val="0"/>
          <w:numId w:val="5"/>
        </w:numPr>
        <w:spacing w:after="90" w:line="276"/>
      </w:pPr>
      <w:r>
        <w:rPr>
          <w:rFonts w:ascii="Arial" w:cs="Arial" w:eastAsia="Arial" w:hAnsi="Arial"/>
          <w:b/>
          <w:bCs/>
          <w:color w:val="000000"/>
          <w:sz w:val="20"/>
          <w:szCs w:val="20"/>
        </w:rPr>
        <w:t xml:space="preserve">En cas de débordement</w:t>
      </w:r>
      <w:r>
        <w:rPr>
          <w:rFonts w:ascii="Arial" w:cs="Arial" w:eastAsia="Arial" w:hAnsi="Arial"/>
          <w:i w:val="false"/>
          <w:iCs w:val="false"/>
          <w:color w:val="333333"/>
          <w:sz w:val="20"/>
          <w:szCs w:val="20"/>
        </w:rPr>
        <w:t xml:space="preserve">, les phases suivantes sont décalées plutôt que tronquées : les dépendances techniques entre phases sont réelles.</w:t>
      </w:r>
    </w:p>
    <w:p>
      <w:pPr>
        <w:pStyle w:val="Heading1"/>
        <w:pBdr>
          <w:bottom w:val="single" w:color="FF7900" w:sz="12" w:space="8"/>
        </w:pBdr>
        <w:spacing w:after="170" w:before="420"/>
      </w:pPr>
      <w:r>
        <w:rPr>
          <w:rFonts w:ascii="Arial" w:cs="Arial" w:eastAsia="Arial" w:hAnsi="Arial"/>
          <w:b/>
          <w:bCs/>
          <w:color w:val="000000"/>
          <w:sz w:val="28"/>
          <w:szCs w:val="28"/>
        </w:rPr>
        <w:t xml:space="preserve">6. Pour aller plus loin</w:t>
      </w:r>
    </w:p>
    <w:p>
      <w:pPr>
        <w:spacing w:after="140" w:before="0" w:line="276"/>
      </w:pPr>
      <w:r>
        <w:rPr>
          <w:rFonts w:ascii="Arial" w:cs="Arial" w:eastAsia="Arial" w:hAnsi="Arial"/>
          <w:i w:val="false"/>
          <w:iCs w:val="false"/>
          <w:color w:val="333333"/>
          <w:sz w:val="20"/>
          <w:szCs w:val="20"/>
        </w:rPr>
        <w:t xml:space="preserve">Deux lectures complémentaires, hors programme mais directement utiles en clientèle. Quelques heures suffisent pour chacune.</w:t>
      </w:r>
    </w:p>
    <w:p>
      <w:pPr>
        <w:spacing w:after="100"/>
      </w:pPr>
    </w:p>
    <w:tbl>
      <w:tblPr>
        <w:tblW w:type="dxa" w:w="9638"/>
        <w:tblBorders>
          <w:top w:val="single" w:color="000000" w:sz="8"/>
          <w:left w:val="none"/>
          <w:bottom w:val="single" w:color="FF7900" w:sz="8"/>
          <w:right w:val="none"/>
          <w:insideH w:val="single" w:color="CCCCCC" w:sz="2"/>
          <w:insideV w:val="none"/>
        </w:tblBorders>
      </w:tblPr>
      <w:tblGrid>
        <w:gridCol w:w="6300"/>
        <w:gridCol w:w="3338"/>
      </w:tblGrid>
      <w:tr>
        <w:tc>
          <w:tcPr>
            <w:tcW w:type="dxa" w:w="6300"/>
            <w:tcMar>
              <w:top w:type="dxa" w:w="120"/>
              <w:left w:type="dxa" w:w="130"/>
              <w:bottom w:type="dxa" w:w="120"/>
              <w:right w:type="dxa" w:w="130"/>
            </w:tcMar>
          </w:tcPr>
          <w:p>
            <w:pPr>
              <w:spacing w:after="50"/>
            </w:pPr>
            <w:hyperlink w:history="1" r:id="rIdzxf6afjxb9fgucb9fpm7m">
              <w:r>
                <w:rPr>
                  <w:rFonts w:ascii="Arial" w:cs="Arial" w:eastAsia="Arial" w:hAnsi="Arial"/>
                  <w:b/>
                  <w:bCs/>
                  <w:color w:val="000000"/>
                  <w:sz w:val="19"/>
                  <w:szCs w:val="19"/>
                  <w:u w:val="single"/>
                </w:rPr>
                <w:t xml:space="preserve">NIST SP 800-207 — Zero Trust Architecture</w:t>
              </w:r>
            </w:hyperlink>
          </w:p>
          <w:p>
            <w:pPr>
              <w:spacing w:after="50" w:line="252"/>
            </w:pPr>
            <w:r>
              <w:rPr>
                <w:rFonts w:ascii="Arial" w:cs="Arial" w:eastAsia="Arial" w:hAnsi="Arial"/>
                <w:i w:val="false"/>
                <w:iCs w:val="false"/>
                <w:color w:val="666666"/>
                <w:sz w:val="17"/>
                <w:szCs w:val="17"/>
              </w:rPr>
              <w:t xml:space="preserve">La référence internationale sur le Zero Trust, en accès libre. Un après-midi de lecture donne un discours structuré, qui s’articule naturellement avec le projet de synthèse — lequel est, techniquement, une implémentation Zero Trust.</w:t>
            </w:r>
          </w:p>
          <w:p>
            <w:pPr>
              <w:spacing w:after="0"/>
            </w:pPr>
            <w:r>
              <w:rPr>
                <w:rFonts w:ascii="Consolas" w:cs="Consolas" w:eastAsia="Consolas" w:hAnsi="Consolas"/>
                <w:color w:val="FF7900"/>
                <w:sz w:val="14"/>
                <w:szCs w:val="14"/>
              </w:rPr>
              <w:t xml:space="preserve">https://csrc.nist.gov/publications/detail/sp/800-207/final</w:t>
            </w:r>
          </w:p>
        </w:tc>
        <w:tc>
          <w:tcPr>
            <w:tcW w:type="dxa" w:w="3338"/>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Gratuit</w:t>
            </w:r>
          </w:p>
        </w:tc>
      </w:tr>
      <w:tr>
        <w:tc>
          <w:tcPr>
            <w:tcW w:type="dxa" w:w="6300"/>
            <w:shd w:fill="FAFAFA" w:color="auto" w:val="clear"/>
            <w:tcMar>
              <w:top w:type="dxa" w:w="120"/>
              <w:left w:type="dxa" w:w="130"/>
              <w:bottom w:type="dxa" w:w="120"/>
              <w:right w:type="dxa" w:w="130"/>
            </w:tcMar>
          </w:tcPr>
          <w:p>
            <w:pPr>
              <w:spacing w:after="50"/>
            </w:pPr>
            <w:hyperlink w:history="1" r:id="rIdjakzbhwufyjqye1utirnq">
              <w:r>
                <w:rPr>
                  <w:rFonts w:ascii="Arial" w:cs="Arial" w:eastAsia="Arial" w:hAnsi="Arial"/>
                  <w:b/>
                  <w:bCs/>
                  <w:color w:val="000000"/>
                  <w:sz w:val="19"/>
                  <w:szCs w:val="19"/>
                  <w:u w:val="single"/>
                </w:rPr>
                <w:t xml:space="preserve">ANSSI — Référentiel SecNumCloud</w:t>
              </w:r>
            </w:hyperlink>
          </w:p>
          <w:p>
            <w:pPr>
              <w:spacing w:after="50" w:line="252"/>
            </w:pPr>
            <w:r>
              <w:rPr>
                <w:rFonts w:ascii="Arial" w:cs="Arial" w:eastAsia="Arial" w:hAnsi="Arial"/>
                <w:i w:val="false"/>
                <w:iCs w:val="false"/>
                <w:color w:val="666666"/>
                <w:sz w:val="17"/>
                <w:szCs w:val="17"/>
              </w:rPr>
              <w:t xml:space="preserve">Référentiel publié en libre accès sur le site de l’ANSSI. La maîtrise déjà acquise d’eIDAS, NIS2 et ISO 27001 rend la transposition rapide, et SecNumCloud prolonge exactement le choix d’une plateforme sans hyperscaler.</w:t>
            </w:r>
          </w:p>
          <w:p>
            <w:pPr>
              <w:spacing w:after="0"/>
            </w:pPr>
            <w:r>
              <w:rPr>
                <w:rFonts w:ascii="Consolas" w:cs="Consolas" w:eastAsia="Consolas" w:hAnsi="Consolas"/>
                <w:color w:val="FF7900"/>
                <w:sz w:val="14"/>
                <w:szCs w:val="14"/>
              </w:rPr>
              <w:t xml:space="preserve">https://cyber.gouv.fr/</w:t>
            </w:r>
          </w:p>
        </w:tc>
        <w:tc>
          <w:tcPr>
            <w:tcW w:type="dxa" w:w="3338"/>
            <w:shd w:fill="FAFAFA" w:color="auto" w:val="clear"/>
            <w:tcMar>
              <w:top w:type="dxa" w:w="120"/>
              <w:left w:type="dxa" w:w="130"/>
              <w:bottom w:type="dxa" w:w="120"/>
              <w:right w:type="dxa" w:w="130"/>
            </w:tcMar>
          </w:tcPr>
          <w:p>
            <w:pPr>
              <w:spacing w:after="0"/>
            </w:pPr>
            <w:r>
              <w:rPr>
                <w:rFonts w:ascii="Arial" w:cs="Arial" w:eastAsia="Arial" w:hAnsi="Arial"/>
                <w:b/>
                <w:bCs/>
                <w:color w:val="666666"/>
                <w:spacing w:val="15"/>
                <w:sz w:val="15"/>
                <w:szCs w:val="15"/>
              </w:rPr>
              <w:t xml:space="preserve">Gratuit</w:t>
            </w:r>
          </w:p>
        </w:tc>
      </w:tr>
    </w:tbl>
    <w:p>
      <w:pPr>
        <w:spacing w:after="300"/>
      </w:pPr>
    </w:p>
    <w:p>
      <w:pPr>
        <w:pBdr>
          <w:bottom w:val="single" w:color="CCCCCC" w:sz="4" w:space="2"/>
        </w:pBdr>
        <w:spacing w:after="60" w:before="60"/>
      </w:pPr>
    </w:p>
    <w:p>
      <w:pPr>
        <w:spacing w:after="140" w:before="0" w:line="276"/>
      </w:pPr>
      <w:r>
        <w:rPr>
          <w:rFonts w:ascii="Arial" w:cs="Arial" w:eastAsia="Arial" w:hAnsi="Arial"/>
          <w:i w:val="false"/>
          <w:iCs w:val="false"/>
          <w:color w:val="666666"/>
          <w:sz w:val="17"/>
          <w:szCs w:val="17"/>
        </w:rPr>
        <w:t xml:space="preserve">Toutes les ressources listées sont gratuites à la date de rédaction : documentations officielles des éditeurs et projets open source. L’intégralité du parcours s’exécute sur infrastructure interne, sans compte cloud ni licence. Seule la certification Terraform Associate est payante et reste optionnelle — son financement peut être discuté au point hebdomadaire. La charge d’une journée par semaine est indicative et s’ajuste selon les impératifs de mission.</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4"/>
        <w:szCs w:val="14"/>
      </w:rPr>
      <w:t xml:space="preserve">Parcours d’intégration — Jean Florentine   |   </w:t>
    </w:r>
    <w:r>
      <w:rPr>
        <w:rFonts w:ascii="Arial" w:cs="Arial" w:eastAsia="Arial" w:hAnsi="Arial"/>
        <w:b/>
        <w:bCs/>
        <w:color w:val="FF7900"/>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4"/>
        <w:szCs w:val="14"/>
      </w:rPr>
      <w:t xml:space="preserve">Parcours d’intégration — Jean Florentine   |   </w:t>
    </w:r>
    <w:r>
      <w:rPr>
        <w:rFonts w:ascii="Arial" w:cs="Arial" w:eastAsia="Arial" w:hAnsi="Arial"/>
        <w:b/>
        <w:bCs/>
        <w:color w:val="FF7900"/>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7900" w:sz="8" w:space="4"/>
      </w:pBdr>
      <w:spacing w:after="60"/>
    </w:pPr>
    <w:r>
      <w:rPr>
        <w:rFonts w:ascii="Arial" w:cs="Arial" w:eastAsia="Arial" w:hAnsi="Arial"/>
        <w:b/>
        <w:bCs/>
        <w:color w:val="666666"/>
        <w:spacing w:val="30"/>
        <w:sz w:val="14"/>
        <w:szCs w:val="14"/>
      </w:rPr>
      <w:t xml:space="preserve">DU PKI AU REBAC — PARCOURS D’INTÉGRATION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FF7900"/>
        <w:sz w:val="14"/>
        <w:szCs w:val="14"/>
      </w:rPr>
    </w:lvl>
  </w:abstractNum>
  <w:abstractNum w:abstractNumId="3" w15:restartNumberingAfterBreak="0">
    <w:multiLevelType w:val="hybridMultilevel"/>
    <w:lvl w:ilvl="0" w15:tentative="1">
      <w:start w:val="1"/>
      <w:numFmt w:val="decimal"/>
      <w:lvlText w:val="%1."/>
      <w:lvlJc w:val="left"/>
      <w:pPr>
        <w:ind w:left="400" w:hanging="280"/>
      </w:pPr>
      <w:rPr>
        <w:b/>
        <w:bCs/>
        <w:color w:val="FF7900"/>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yvwsriq_z_4nh1vw32lty" Type="http://schemas.openxmlformats.org/officeDocument/2006/relationships/hyperlink" Target="https://developer.hashicorp.com/terraform/tutorials" TargetMode="External"/><Relationship Id="rIdnzc1zzuy6krrqrbelg78z" Type="http://schemas.openxmlformats.org/officeDocument/2006/relationships/hyperlink" Target="https://opentofu.org/docs/" TargetMode="External"/><Relationship Id="rId0ksg1l1tjrk5h6kiwbx51" Type="http://schemas.openxmlformats.org/officeDocument/2006/relationships/hyperlink" Target="https://developer.hashicorp.com/terraform/language" TargetMode="External"/><Relationship Id="rIdopqkaurmvmxmu2tueuv1q" Type="http://schemas.openxmlformats.org/officeDocument/2006/relationships/hyperlink" Target="https://registry.terraform.io/" TargetMode="External"/><Relationship Id="rId8wxjovem50vwwmnlc0qe2" Type="http://schemas.openxmlformats.org/officeDocument/2006/relationships/hyperlink" Target="https://docs.crossplane.io/" TargetMode="External"/><Relationship Id="rIdkpy4aezuotiy4r7jbema8" Type="http://schemas.openxmlformats.org/officeDocument/2006/relationships/hyperlink" Target="https://spiffe.io/docs/latest/spiffe-about/overview/" TargetMode="External"/><Relationship Id="rIdm9ey23tal24y36y6upfrz" Type="http://schemas.openxmlformats.org/officeDocument/2006/relationships/hyperlink" Target="https://kubernetes.io/docs/concepts/security/service-accounts/" TargetMode="External"/><Relationship Id="rIdcsc7ryhpcvcmxf-tp4icb" Type="http://schemas.openxmlformats.org/officeDocument/2006/relationships/hyperlink" Target="https://kubernetes.io/docs/reference/access-authn-authz/authentication/" TargetMode="External"/><Relationship Id="rIdsq28pn4lhxciq6rj4ygky" Type="http://schemas.openxmlformats.org/officeDocument/2006/relationships/hyperlink" Target="https://datatracker.ietf.org/doc/html/rfc8693" TargetMode="External"/><Relationship Id="rIdimakye81omr7li15lkw7h" Type="http://schemas.openxmlformats.org/officeDocument/2006/relationships/hyperlink" Target="https://www.keycloak.org/documentation" TargetMode="External"/><Relationship Id="rIdisxrd63ueju2c5ymwxn7g" Type="http://schemas.openxmlformats.org/officeDocument/2006/relationships/hyperlink" Target="https://openbao.org/docs/" TargetMode="External"/><Relationship Id="rIdauwwu_ildohawb7xxgfrx" Type="http://schemas.openxmlformats.org/officeDocument/2006/relationships/hyperlink" Target="https://min.io/docs/" TargetMode="External"/><Relationship Id="rIdkgakfl1r8vywbtg7mksvu" Type="http://schemas.openxmlformats.org/officeDocument/2006/relationships/hyperlink" Target="https://www.usenix.org/conference/atc19/presentation/pang" TargetMode="External"/><Relationship Id="rId0zlgxyllleqtenl3uq1uo" Type="http://schemas.openxmlformats.org/officeDocument/2006/relationships/hyperlink" Target="https://openfga.dev/docs" TargetMode="External"/><Relationship Id="rId5gf6mxj_tjcnwynn1vdh6" Type="http://schemas.openxmlformats.org/officeDocument/2006/relationships/hyperlink" Target="https://play.fga.dev/" TargetMode="External"/><Relationship Id="rIdpfri3_sqwikaeg9mgsfii" Type="http://schemas.openxmlformats.org/officeDocument/2006/relationships/hyperlink" Target="https://authzed.com/docs" TargetMode="External"/><Relationship Id="rIdeuafq5j2jyun3uu_vasz-" Type="http://schemas.openxmlformats.org/officeDocument/2006/relationships/hyperlink" Target="https://www.ory.sh/docs/keto" TargetMode="External"/><Relationship Id="rIdzxf6afjxb9fgucb9fpm7m" Type="http://schemas.openxmlformats.org/officeDocument/2006/relationships/hyperlink" Target="https://csrc.nist.gov/publications/detail/sp/800-207/final" TargetMode="External"/><Relationship Id="rIdjakzbhwufyjqye1utirnq" Type="http://schemas.openxmlformats.org/officeDocument/2006/relationships/hyperlink" Target="https://cyber.gouv.fr/" TargetMode="External"/><Relationship Id="rId11" Type="http://schemas.openxmlformats.org/officeDocument/2006/relationships/image" Target="media/32b1d1d0fb7f63b3a31ae26c2e6b124d63e1d255.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de montée en compétence — Jean Florentine</dc:title>
  <dc:creator>Un-named</dc:creator>
  <dc:description>Terraform, workload identity et ReBAC — 100 % open source</dc:description>
  <cp:lastModifiedBy>Un-named</cp:lastModifiedBy>
  <cp:revision>1</cp:revision>
  <dcterms:created xsi:type="dcterms:W3CDTF">2026-08-31T20:22:37.882Z</dcterms:created>
  <dcterms:modified xsi:type="dcterms:W3CDTF">2026-08-31T20:22:37.882Z</dcterms:modified>
</cp:coreProperties>
</file>

<file path=docProps/custom.xml><?xml version="1.0" encoding="utf-8"?>
<Properties xmlns="http://schemas.openxmlformats.org/officeDocument/2006/custom-properties" xmlns:vt="http://schemas.openxmlformats.org/officeDocument/2006/docPropsVTypes"/>
</file>