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977166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E6055B" w:rsidP="00827B60">
      <w:pPr>
        <w:pStyle w:val="Titel"/>
        <w:spacing w:line="360" w:lineRule="auto"/>
        <w:jc w:val="right"/>
      </w:pPr>
      <w:fldSimple w:instr=" TITLE  \* MERGEFORMAT ">
        <w:r w:rsidR="00A34CEF">
          <w:t>Software Requirements Specification</w:t>
        </w:r>
      </w:fldSimple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320C1C4" w14:textId="77777777" w:rsidR="002D27E7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D27E7">
        <w:rPr>
          <w:noProof/>
        </w:rPr>
        <w:t>1.</w:t>
      </w:r>
      <w:r w:rsidR="002D27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27E7">
        <w:rPr>
          <w:noProof/>
        </w:rPr>
        <w:t>Introduction</w:t>
      </w:r>
      <w:r w:rsidR="002D27E7">
        <w:rPr>
          <w:noProof/>
        </w:rPr>
        <w:tab/>
      </w:r>
      <w:r w:rsidR="002D27E7">
        <w:rPr>
          <w:noProof/>
        </w:rPr>
        <w:fldChar w:fldCharType="begin"/>
      </w:r>
      <w:r w:rsidR="002D27E7">
        <w:rPr>
          <w:noProof/>
        </w:rPr>
        <w:instrText xml:space="preserve"> PAGEREF _Toc354411588 \h </w:instrText>
      </w:r>
      <w:r w:rsidR="002D27E7">
        <w:rPr>
          <w:noProof/>
        </w:rPr>
      </w:r>
      <w:r w:rsidR="002D27E7">
        <w:rPr>
          <w:noProof/>
        </w:rPr>
        <w:fldChar w:fldCharType="separate"/>
      </w:r>
      <w:r w:rsidR="0099232E">
        <w:rPr>
          <w:noProof/>
        </w:rPr>
        <w:t>4</w:t>
      </w:r>
      <w:r w:rsidR="002D27E7">
        <w:rPr>
          <w:noProof/>
        </w:rPr>
        <w:fldChar w:fldCharType="end"/>
      </w:r>
    </w:p>
    <w:p w14:paraId="4AB662B4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_Toc354411589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1F57FD0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235220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_Toc354411591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B677415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_Toc354411592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2ADD280A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_Toc354411593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0155DC62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_Toc354411594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55F4396C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_Toc354411595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154BC951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_Toc354411596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7</w:t>
      </w:r>
      <w:r>
        <w:rPr>
          <w:noProof/>
        </w:rPr>
        <w:fldChar w:fldCharType="end"/>
      </w:r>
    </w:p>
    <w:p w14:paraId="1776E8A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_Toc354411597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47C7A89B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_Toc354411598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519C11A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6B5E419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_Toc354411600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fldSimple w:instr=" TITLE  \* MERGEFORMAT ">
        <w:r w:rsidR="00A34CEF">
          <w:t>Software Requirements Specification</w:t>
        </w:r>
      </w:fldSimple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354411588"/>
      <w:r>
        <w:t>Introduction</w:t>
      </w:r>
      <w:bookmarkEnd w:id="0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354411589"/>
      <w:r>
        <w:t>Purpose</w:t>
      </w:r>
      <w:bookmarkEnd w:id="1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354411590"/>
      <w:r>
        <w:t>Scope</w:t>
      </w:r>
      <w:bookmarkEnd w:id="2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354411591"/>
      <w:r>
        <w:t>Definitions, Acronyms, and Abbreviations</w:t>
      </w:r>
      <w:bookmarkEnd w:id="3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4" w:name="_Toc354411592"/>
      <w:r>
        <w:t>References</w:t>
      </w:r>
      <w:bookmarkEnd w:id="4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5" w:name="_Toc354411593"/>
      <w:r>
        <w:t>Overview</w:t>
      </w:r>
      <w:bookmarkEnd w:id="5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2E195B15" w14:textId="35E47E93" w:rsidR="005464DD" w:rsidRPr="00C54E96" w:rsidRDefault="004569B5" w:rsidP="005464DD">
      <w:pPr>
        <w:pStyle w:val="berschrift1"/>
        <w:spacing w:line="360" w:lineRule="auto"/>
        <w:rPr>
          <w:lang w:val="de-DE"/>
        </w:rPr>
      </w:pPr>
      <w:bookmarkStart w:id="6" w:name="_Toc354411594"/>
      <w:r w:rsidRPr="00D7617D">
        <w:rPr>
          <w:lang w:val="de-DE"/>
        </w:rPr>
        <w:lastRenderedPageBreak/>
        <w:t>Overall Descriptio</w:t>
      </w:r>
      <w:bookmarkStart w:id="7" w:name="2.1_______________Use-Case_Model_Survey"/>
      <w:r w:rsidR="00D35B09">
        <w:rPr>
          <w:lang w:val="de-DE"/>
        </w:rPr>
        <w:t>n</w:t>
      </w:r>
      <w:bookmarkEnd w:id="6"/>
    </w:p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8" w:name="_Toc354411595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7"/>
      <w:bookmarkEnd w:id="8"/>
    </w:p>
    <w:p w14:paraId="29540A47" w14:textId="77777777" w:rsidR="00030966" w:rsidRDefault="00030966" w:rsidP="00030966">
      <w:pPr>
        <w:keepNext/>
      </w:pPr>
      <w:r>
        <w:rPr>
          <w:noProof/>
          <w:lang w:val="de-DE" w:eastAsia="de-DE"/>
        </w:rPr>
        <w:drawing>
          <wp:inline distT="0" distB="0" distL="0" distR="0" wp14:anchorId="7536337D" wp14:editId="3B6231AE">
            <wp:extent cx="4302522" cy="7028953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22" cy="7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FC8" w14:textId="05E62D47" w:rsidR="00030966" w:rsidRPr="00030966" w:rsidRDefault="00030966" w:rsidP="00030966">
      <w:pPr>
        <w:pStyle w:val="Beschriftung"/>
        <w:keepNext/>
        <w:rPr>
          <w:lang w:val="de-DE"/>
        </w:rPr>
      </w:pPr>
      <w:r w:rsidRPr="00030966">
        <w:rPr>
          <w:lang w:val="de-DE"/>
        </w:rPr>
        <w:t xml:space="preserve">Abbildung </w:t>
      </w:r>
      <w:r>
        <w:fldChar w:fldCharType="begin"/>
      </w:r>
      <w:r w:rsidRPr="00030966">
        <w:rPr>
          <w:lang w:val="de-DE"/>
        </w:rPr>
        <w:instrText xml:space="preserve"> SEQ Abbildung \* ARABIC </w:instrText>
      </w:r>
      <w:r>
        <w:fldChar w:fldCharType="separate"/>
      </w:r>
      <w:r w:rsidRPr="00030966">
        <w:rPr>
          <w:noProof/>
          <w:lang w:val="de-DE"/>
        </w:rPr>
        <w:t>1</w:t>
      </w:r>
      <w:r>
        <w:fldChar w:fldCharType="end"/>
      </w:r>
      <w:r>
        <w:rPr>
          <w:lang w:val="de-DE"/>
        </w:rPr>
        <w:t xml:space="preserve">: </w:t>
      </w:r>
      <w:proofErr w:type="spellStart"/>
      <w:r w:rsidRPr="00030966">
        <w:rPr>
          <w:lang w:val="de-DE"/>
        </w:rPr>
        <w:t>Use</w:t>
      </w:r>
      <w:proofErr w:type="spellEnd"/>
      <w:r w:rsidRPr="00030966">
        <w:rPr>
          <w:lang w:val="de-DE"/>
        </w:rPr>
        <w:t xml:space="preserve"> Case </w:t>
      </w:r>
      <w:proofErr w:type="spellStart"/>
      <w:r w:rsidRPr="00030966">
        <w:rPr>
          <w:lang w:val="de-DE"/>
        </w:rPr>
        <w:t>Diagram</w:t>
      </w:r>
      <w:proofErr w:type="spellEnd"/>
    </w:p>
    <w:p w14:paraId="26FA9F08" w14:textId="52B827F9" w:rsidR="00D35B09" w:rsidRPr="00030966" w:rsidRDefault="00D35B09" w:rsidP="00030966">
      <w:pPr>
        <w:pStyle w:val="Beschriftung"/>
        <w:rPr>
          <w:lang w:val="de-DE"/>
        </w:rPr>
      </w:pPr>
    </w:p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lastRenderedPageBreak/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7FBE2E7D" w:rsid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erstellen</w:t>
      </w:r>
    </w:p>
    <w:p w14:paraId="118D95F2" w14:textId="33D78D36" w:rsidR="00FC16BD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bearbeiten</w:t>
      </w:r>
    </w:p>
    <w:p w14:paraId="3E0A7FD9" w14:textId="6F51213D" w:rsidR="00FC16BD" w:rsidRP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löschen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0408475" w:rsidR="00C15956" w:rsidRDefault="00532CE2" w:rsidP="00827B60">
      <w:pPr>
        <w:spacing w:line="360" w:lineRule="auto"/>
        <w:rPr>
          <w:lang w:val="de-DE"/>
        </w:rPr>
      </w:pPr>
      <w:r>
        <w:rPr>
          <w:b/>
          <w:lang w:val="de-DE"/>
        </w:rPr>
        <w:t>Spieler erstellen</w:t>
      </w:r>
      <w:r w:rsidR="00C15956" w:rsidRPr="006E3864">
        <w:rPr>
          <w:b/>
          <w:lang w:val="de-DE"/>
        </w:rPr>
        <w:t>:</w:t>
      </w:r>
      <w:r w:rsidR="00C15956"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06264E9F" w14:textId="77777777" w:rsidR="00532CE2" w:rsidRDefault="00532CE2" w:rsidP="00827B60">
      <w:pPr>
        <w:spacing w:line="360" w:lineRule="auto"/>
        <w:rPr>
          <w:lang w:val="de-DE"/>
        </w:rPr>
      </w:pPr>
    </w:p>
    <w:p w14:paraId="06A2D0F4" w14:textId="737B0733" w:rsidR="00532CE2" w:rsidRPr="00185AE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bearbeiten</w:t>
      </w:r>
      <w:r w:rsidR="00185AED" w:rsidRPr="00185AED">
        <w:rPr>
          <w:b/>
          <w:lang w:val="de-DE"/>
        </w:rPr>
        <w:t>:</w:t>
      </w:r>
      <w:r w:rsidR="00185AED">
        <w:rPr>
          <w:lang w:val="de-DE"/>
        </w:rPr>
        <w:t xml:space="preserve"> Vor dem Spi</w:t>
      </w:r>
      <w:r w:rsidR="00FC16BD">
        <w:rPr>
          <w:lang w:val="de-DE"/>
        </w:rPr>
        <w:t>elstart können die Eigenschaften der bereits erstellten Spieler bearbeitet werden.</w:t>
      </w:r>
    </w:p>
    <w:p w14:paraId="2F36D40B" w14:textId="77777777" w:rsidR="00532CE2" w:rsidRDefault="00532CE2" w:rsidP="00827B60">
      <w:pPr>
        <w:spacing w:line="360" w:lineRule="auto"/>
        <w:rPr>
          <w:lang w:val="de-DE"/>
        </w:rPr>
      </w:pPr>
    </w:p>
    <w:p w14:paraId="4C96D48A" w14:textId="2111FCD5" w:rsidR="00532CE2" w:rsidRPr="00FC16B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löschen</w:t>
      </w:r>
      <w:r w:rsidR="00185AED" w:rsidRPr="00185AED">
        <w:rPr>
          <w:b/>
          <w:lang w:val="de-DE"/>
        </w:rPr>
        <w:t>:</w:t>
      </w:r>
      <w:r w:rsidR="00FC16BD">
        <w:rPr>
          <w:lang w:val="de-DE"/>
        </w:rPr>
        <w:t xml:space="preserve"> Vor dem Spielstart können bereits erstellte Spieler wieder gelöscht werden, um die Spieleranzahl anzupassen.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19549956" w14:textId="14772378" w:rsidR="005C587E" w:rsidRPr="00030966" w:rsidRDefault="00344C15" w:rsidP="00030966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  <w:bookmarkStart w:id="9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0" w:name="_Toc354411596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9"/>
      <w:bookmarkEnd w:id="10"/>
      <w:proofErr w:type="spellEnd"/>
    </w:p>
    <w:p w14:paraId="5D8B390E" w14:textId="19D89CC1" w:rsidR="005C587E" w:rsidRPr="00C54E96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066F7787" w14:textId="3BAED858" w:rsidR="00980C25" w:rsidRPr="00532CE2" w:rsidRDefault="004569B5" w:rsidP="00980C25">
      <w:pPr>
        <w:pStyle w:val="berschrift1"/>
        <w:spacing w:line="360" w:lineRule="auto"/>
        <w:rPr>
          <w:lang w:val="de-DE"/>
        </w:rPr>
      </w:pPr>
      <w:bookmarkStart w:id="11" w:name="_Toc354411597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1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2" w:name="3.1_______________Use-Case_Reports"/>
      <w:bookmarkStart w:id="13" w:name="_Toc354411598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2"/>
      <w:bookmarkEnd w:id="13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4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5" w:name="_Toc354411599"/>
      <w:r>
        <w:t>Supplementary Requirements</w:t>
      </w:r>
      <w:bookmarkEnd w:id="14"/>
      <w:bookmarkEnd w:id="15"/>
      <w:r>
        <w:t xml:space="preserve"> </w:t>
      </w:r>
    </w:p>
    <w:p w14:paraId="12BA0318" w14:textId="77777777" w:rsidR="005F7157" w:rsidRDefault="005F7157" w:rsidP="005F7157">
      <w:pPr>
        <w:spacing w:line="360" w:lineRule="auto"/>
      </w:pPr>
      <w:proofErr w:type="spellStart"/>
      <w:proofErr w:type="gramStart"/>
      <w:r>
        <w:rPr>
          <w:i/>
          <w:color w:val="FF0000"/>
        </w:rPr>
        <w:t>non</w:t>
      </w:r>
      <w:proofErr w:type="gramEnd"/>
      <w:r>
        <w:rPr>
          <w:i/>
          <w:color w:val="FF0000"/>
        </w:rPr>
        <w:t xml:space="preserve"> functional</w:t>
      </w:r>
      <w:proofErr w:type="spellEnd"/>
      <w:r>
        <w:rPr>
          <w:i/>
          <w:color w:val="FF0000"/>
        </w:rPr>
        <w:t xml:space="preserve"> requirements</w:t>
      </w:r>
      <w:r w:rsidRPr="005F7157">
        <w:t xml:space="preserve"> </w:t>
      </w:r>
    </w:p>
    <w:p w14:paraId="18DB1D70" w14:textId="05156320" w:rsidR="005F7157" w:rsidRPr="005F7157" w:rsidRDefault="005F7157" w:rsidP="005F7157">
      <w:pPr>
        <w:spacing w:line="360" w:lineRule="auto"/>
        <w:rPr>
          <w:i/>
          <w:color w:val="FF0000"/>
        </w:rPr>
      </w:pPr>
      <w:bookmarkStart w:id="16" w:name="_GoBack"/>
      <w:bookmarkEnd w:id="16"/>
      <w:r w:rsidRPr="005F7157">
        <w:rPr>
          <w:i/>
          <w:color w:val="FF0000"/>
        </w:rPr>
        <w:t>Accessibility</w:t>
      </w:r>
    </w:p>
    <w:p w14:paraId="29051DE4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Audit and control</w:t>
      </w:r>
    </w:p>
    <w:p w14:paraId="44588341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Availability (see service level agreement)</w:t>
      </w:r>
    </w:p>
    <w:p w14:paraId="12B01CC6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Backup</w:t>
      </w:r>
    </w:p>
    <w:p w14:paraId="094C8856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Capacity, current and forecast</w:t>
      </w:r>
    </w:p>
    <w:p w14:paraId="58170BC1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Certification</w:t>
      </w:r>
    </w:p>
    <w:p w14:paraId="072AD404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Compliance</w:t>
      </w:r>
    </w:p>
    <w:p w14:paraId="11145C52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Configuration management</w:t>
      </w:r>
    </w:p>
    <w:p w14:paraId="55267879" w14:textId="77777777" w:rsidR="005F7157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t>Dependency on other parties</w:t>
      </w:r>
    </w:p>
    <w:p w14:paraId="6DC3D4E0" w14:textId="3FE8AD1F" w:rsidR="004C497C" w:rsidRPr="005F7157" w:rsidRDefault="005F7157" w:rsidP="005F7157">
      <w:pPr>
        <w:spacing w:line="360" w:lineRule="auto"/>
        <w:rPr>
          <w:i/>
          <w:color w:val="FF0000"/>
        </w:rPr>
      </w:pPr>
      <w:r w:rsidRPr="005F7157">
        <w:rPr>
          <w:i/>
          <w:color w:val="FF0000"/>
        </w:rPr>
        <w:lastRenderedPageBreak/>
        <w:t>Deployment</w:t>
      </w:r>
    </w:p>
    <w:p w14:paraId="1B072B08" w14:textId="77777777" w:rsidR="00784CF4" w:rsidRDefault="00784CF4" w:rsidP="00827B60">
      <w:pPr>
        <w:spacing w:line="360" w:lineRule="auto"/>
      </w:pP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411600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E7E78" w14:textId="77777777" w:rsidR="00977166" w:rsidRDefault="00977166">
      <w:pPr>
        <w:spacing w:line="240" w:lineRule="auto"/>
      </w:pPr>
      <w:r>
        <w:separator/>
      </w:r>
    </w:p>
  </w:endnote>
  <w:endnote w:type="continuationSeparator" w:id="0">
    <w:p w14:paraId="09CF2135" w14:textId="77777777" w:rsidR="00977166" w:rsidRDefault="00977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fldSimple w:instr=" DOCPROPERTY &quot;Company&quot;  \* MERGEFORMAT ">
            <w:r w:rsidR="0099232E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096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F7157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  <w:p w14:paraId="0BEE45F2" w14:textId="77777777" w:rsidR="00000000" w:rsidRDefault="0097716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E1196" w14:textId="77777777" w:rsidR="00977166" w:rsidRDefault="00977166">
      <w:pPr>
        <w:spacing w:line="240" w:lineRule="auto"/>
      </w:pPr>
      <w:r>
        <w:separator/>
      </w:r>
    </w:p>
  </w:footnote>
  <w:footnote w:type="continuationSeparator" w:id="0">
    <w:p w14:paraId="0342877D" w14:textId="77777777" w:rsidR="00977166" w:rsidRDefault="009771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2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E6055B">
          <w:fldSimple w:instr=" TITLE  \* MERGEFORMAT ">
            <w:r w:rsidR="0099232E">
              <w:t>Software Requirements Specification</w:t>
            </w:r>
          </w:fldSimple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30966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185AED"/>
    <w:rsid w:val="00214A5A"/>
    <w:rsid w:val="00287083"/>
    <w:rsid w:val="002B7EB4"/>
    <w:rsid w:val="002D0B50"/>
    <w:rsid w:val="002D27E7"/>
    <w:rsid w:val="002D3953"/>
    <w:rsid w:val="002E3C96"/>
    <w:rsid w:val="00344C15"/>
    <w:rsid w:val="003467B1"/>
    <w:rsid w:val="003636F2"/>
    <w:rsid w:val="00380367"/>
    <w:rsid w:val="003818F1"/>
    <w:rsid w:val="00391D58"/>
    <w:rsid w:val="003A12C1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32CE2"/>
    <w:rsid w:val="005464DD"/>
    <w:rsid w:val="00563236"/>
    <w:rsid w:val="005834F1"/>
    <w:rsid w:val="005B1E9B"/>
    <w:rsid w:val="005B7A09"/>
    <w:rsid w:val="005C587E"/>
    <w:rsid w:val="005D2BB0"/>
    <w:rsid w:val="005F185F"/>
    <w:rsid w:val="005F7157"/>
    <w:rsid w:val="0060632A"/>
    <w:rsid w:val="006311D3"/>
    <w:rsid w:val="00652021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77166"/>
    <w:rsid w:val="00980C25"/>
    <w:rsid w:val="00982960"/>
    <w:rsid w:val="0099232E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54E96"/>
    <w:rsid w:val="00C61984"/>
    <w:rsid w:val="00C9360F"/>
    <w:rsid w:val="00CA325D"/>
    <w:rsid w:val="00CA4E59"/>
    <w:rsid w:val="00CC2ED6"/>
    <w:rsid w:val="00D05F30"/>
    <w:rsid w:val="00D35B09"/>
    <w:rsid w:val="00D448C8"/>
    <w:rsid w:val="00D7617D"/>
    <w:rsid w:val="00DA5B65"/>
    <w:rsid w:val="00DD047A"/>
    <w:rsid w:val="00E10DEE"/>
    <w:rsid w:val="00E50041"/>
    <w:rsid w:val="00E56A10"/>
    <w:rsid w:val="00E6055B"/>
    <w:rsid w:val="00E64A63"/>
    <w:rsid w:val="00E87494"/>
    <w:rsid w:val="00EB02E6"/>
    <w:rsid w:val="00F03BBB"/>
    <w:rsid w:val="00F160EC"/>
    <w:rsid w:val="00F80ED4"/>
    <w:rsid w:val="00FA470A"/>
    <w:rsid w:val="00FC16BD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83E06"/>
    <w:rsid w:val="003A5FE9"/>
    <w:rsid w:val="004067AD"/>
    <w:rsid w:val="006C0101"/>
    <w:rsid w:val="008C3E02"/>
    <w:rsid w:val="00B52655"/>
    <w:rsid w:val="00CC1FE1"/>
    <w:rsid w:val="00D6058B"/>
    <w:rsid w:val="00D67B57"/>
    <w:rsid w:val="00E2523E"/>
    <w:rsid w:val="00F25B6F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8</Pages>
  <Words>925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Janina</cp:lastModifiedBy>
  <cp:revision>14</cp:revision>
  <cp:lastPrinted>2013-04-22T14:31:00Z</cp:lastPrinted>
  <dcterms:created xsi:type="dcterms:W3CDTF">2013-04-20T08:32:00Z</dcterms:created>
  <dcterms:modified xsi:type="dcterms:W3CDTF">2013-06-24T20:16:00Z</dcterms:modified>
</cp:coreProperties>
</file>