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8"/>
          <w:sz w:val="36"/>
        </w:rPr>
        <w:t>FINANCE - CORE BANKING SYSTEM MODERNIZATION</w:t>
        <w:br/>
        <w:t>PROJECT CLOSURE REPORT</w:t>
      </w:r>
    </w:p>
    <w:p>
      <w:r>
        <w:t>Document Type: Project Closure Report</w:t>
      </w:r>
    </w:p>
    <w:p>
      <w:r>
        <w:t>Industry: Finance - Banking Operations</w:t>
      </w:r>
    </w:p>
    <w:p>
      <w:r>
        <w:t>Project Type: Core Banking System Modernization</w:t>
      </w:r>
    </w:p>
    <w:p>
      <w:r>
        <w:t>Date: July 31, 2025</w:t>
      </w:r>
    </w:p>
    <w:p>
      <w:r>
        <w:t>Version: 1.0</w:t>
      </w:r>
    </w:p>
    <w:p>
      <w:r>
        <w:t>PMI Standard: 2025 Compliance</w:t>
      </w:r>
    </w:p>
    <w:p>
      <w:r>
        <w:t>________________________________________________________________________________</w:t>
      </w:r>
    </w:p>
    <w:p>
      <w:pPr>
        <w:pStyle w:val="Heading1"/>
      </w:pPr>
      <w:r>
        <w:t>EXECUTIVE SUMMARY</w:t>
      </w:r>
    </w:p>
    <w:p>
      <w:r>
        <w:t>The Core Banking System Modernization project has been successfully completed on August 31, 2025. The project achieved its primary objectives of replacing the legacy banking system with a modern, cloud-based platform that improves transaction processing speed, enhances security, and provides better customer experience.</w:t>
      </w:r>
    </w:p>
    <w:p>
      <w:pPr>
        <w:pStyle w:val="Heading1"/>
      </w:pPr>
      <w:r>
        <w:t>PROJECT OBJECTIVES ACHIEVED</w:t>
      </w:r>
    </w:p>
    <w:p>
      <w:pPr>
        <w:pStyle w:val="ListBullet"/>
      </w:pPr>
      <w:r>
        <w:t>Migrated 15 million customer accounts to new core banking system</w:t>
      </w:r>
    </w:p>
    <w:p>
      <w:pPr>
        <w:pStyle w:val="ListBullet"/>
      </w:pPr>
      <w:r>
        <w:t>Achieved 99.9% system uptime during transition period</w:t>
      </w:r>
    </w:p>
    <w:p>
      <w:pPr>
        <w:pStyle w:val="ListBullet"/>
      </w:pPr>
      <w:r>
        <w:t>Reduced transaction processing time by 40%</w:t>
      </w:r>
    </w:p>
    <w:p>
      <w:pPr>
        <w:pStyle w:val="ListBullet"/>
      </w:pPr>
      <w:r>
        <w:t>Implemented enhanced security controls meeting SOX and PCI-DSS requirements</w:t>
      </w:r>
    </w:p>
    <w:p>
      <w:pPr>
        <w:pStyle w:val="ListBullet"/>
      </w:pPr>
      <w:r>
        <w:t>Trained 500+ banking staff on new system</w:t>
      </w:r>
    </w:p>
    <w:p>
      <w:pPr>
        <w:pStyle w:val="Heading1"/>
      </w:pPr>
      <w:r>
        <w:t>PROJECT PERFORMANCE METRICS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Target</w:t>
            </w:r>
          </w:p>
        </w:tc>
        <w:tc>
          <w:tcPr>
            <w:tcW w:type="dxa" w:w="2880"/>
          </w:tcPr>
          <w:p>
            <w:r>
              <w:t>Actual</w:t>
            </w:r>
          </w:p>
        </w:tc>
      </w:tr>
      <w:tr>
        <w:tc>
          <w:tcPr>
            <w:tcW w:type="dxa" w:w="2880"/>
          </w:tcPr>
          <w:p>
            <w:r>
              <w:t>Budget Variance</w:t>
            </w:r>
          </w:p>
        </w:tc>
        <w:tc>
          <w:tcPr>
            <w:tcW w:type="dxa" w:w="2880"/>
          </w:tcPr>
          <w:p>
            <w:r>
              <w:t>±5%</w:t>
            </w:r>
          </w:p>
        </w:tc>
        <w:tc>
          <w:tcPr>
            <w:tcW w:type="dxa" w:w="2880"/>
          </w:tcPr>
          <w:p>
            <w:r>
              <w:t>+2.3%</w:t>
            </w:r>
          </w:p>
        </w:tc>
      </w:tr>
      <w:tr>
        <w:tc>
          <w:tcPr>
            <w:tcW w:type="dxa" w:w="2880"/>
          </w:tcPr>
          <w:p>
            <w:r>
              <w:t>Schedule Variance</w:t>
            </w:r>
          </w:p>
        </w:tc>
        <w:tc>
          <w:tcPr>
            <w:tcW w:type="dxa" w:w="2880"/>
          </w:tcPr>
          <w:p>
            <w:r>
              <w:t>±10%</w:t>
            </w:r>
          </w:p>
        </w:tc>
        <w:tc>
          <w:tcPr>
            <w:tcW w:type="dxa" w:w="2880"/>
          </w:tcPr>
          <w:p>
            <w:r>
              <w:t>+5 days</w:t>
            </w:r>
          </w:p>
        </w:tc>
      </w:tr>
      <w:tr>
        <w:tc>
          <w:tcPr>
            <w:tcW w:type="dxa" w:w="2880"/>
          </w:tcPr>
          <w:p>
            <w:r>
              <w:t>Quality Score</w:t>
            </w:r>
          </w:p>
        </w:tc>
        <w:tc>
          <w:tcPr>
            <w:tcW w:type="dxa" w:w="2880"/>
          </w:tcPr>
          <w:p>
            <w:r>
              <w:t>95%</w:t>
            </w:r>
          </w:p>
        </w:tc>
        <w:tc>
          <w:tcPr>
            <w:tcW w:type="dxa" w:w="2880"/>
          </w:tcPr>
          <w:p>
            <w:r>
              <w:t>97%</w:t>
            </w:r>
          </w:p>
        </w:tc>
      </w:tr>
      <w:tr>
        <w:tc>
          <w:tcPr>
            <w:tcW w:type="dxa" w:w="2880"/>
          </w:tcPr>
          <w:p>
            <w:r>
              <w:t>Stakeholder Satisfaction</w:t>
            </w:r>
          </w:p>
        </w:tc>
        <w:tc>
          <w:tcPr>
            <w:tcW w:type="dxa" w:w="2880"/>
          </w:tcPr>
          <w:p>
            <w:r>
              <w:t>4.0/5.0</w:t>
            </w:r>
          </w:p>
        </w:tc>
        <w:tc>
          <w:tcPr>
            <w:tcW w:type="dxa" w:w="2880"/>
          </w:tcPr>
          <w:p>
            <w:r>
              <w:t>4.5/5.0</w:t>
            </w:r>
          </w:p>
        </w:tc>
      </w:tr>
    </w:tbl>
    <w:p>
      <w:pPr>
        <w:pStyle w:val="Heading1"/>
      </w:pPr>
      <w:r>
        <w:t>KEY LESSONS LEARNED</w:t>
      </w:r>
    </w:p>
    <w:p>
      <w:r>
        <w:t>Early stakeholder engagement and comprehensive training programs were critical success factors. Future projects should allocate more time for legacy system documentation review.</w:t>
      </w:r>
    </w:p>
    <w:p>
      <w:pPr>
        <w:pStyle w:val="Heading1"/>
      </w:pPr>
      <w:r>
        <w:t>RECOMMENDATIONS</w:t>
      </w:r>
    </w:p>
    <w:p>
      <w:r>
        <w:t>Continue monitoring system performance for 90 days post-implementation. Establish a dedicated support team for issue resolution. Plan for Phase 2 enhancements based on user feedback.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