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REGULATORY COMPLIANCE AND GOVERNANCE</w:t>
        <w:br/>
        <w:t>PROJECT PROPOSAL</w:t>
      </w:r>
    </w:p>
    <w:p>
      <w:pPr>
        <w:jc w:val="center"/>
      </w:pPr>
      <w:r>
        <w:rPr>
          <w:i/>
          <w:sz w:val="28"/>
        </w:rPr>
        <w:t>Strategic Initiative for Compliance framework implementation for regulatory adherence and risk management</w:t>
      </w:r>
    </w:p>
    <w:p>
      <w:pPr>
        <w:jc w:val="center"/>
      </w:pPr>
      <w:r>
        <w:br/>
        <w:t>Document Type: Project Proposal</w:t>
        <w:br/>
        <w:t>Industry: Regulatory Compliance and Governance</w:t>
        <w:br/>
        <w:t>Project Type: Regulatory Compliance</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Regulatory Compliance initiative for Regulatory Compliance and Governance to achieve Compliance framework implementation for regulatory adherence and risk management. The proposed solution addresses critical business challenges while delivering measurable value through Risk mitigation, Penalty avoidance, Operational efficiency.</w:t>
        <w:br/>
        <w:br/>
        <w:t>Key Benefits:</w:t>
        <w:br/>
        <w:t>• Risk mitigation</w:t>
        <w:br/>
        <w:t>• Penalty avoidance</w:t>
        <w:br/>
        <w:t>• Operational efficiency</w:t>
        <w:br/>
        <w:t>• Reputation protection</w:t>
        <w:br/>
        <w:t>• Market access</w:t>
        <w:br/>
        <w:br/>
        <w:t>Investment Required: $2,200,000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Regulatory Compliance and Governance Implementation Initiative</w:t>
        <w:br/>
        <w:t>Project Type: Regulatory Compliance</w:t>
        <w:br/>
        <w:t>Industry Focus: Regulatory Compliance and Governance</w:t>
        <w:br/>
        <w:br/>
        <w:t>Business Context:</w:t>
        <w:br/>
        <w:t>Compliance framework implementation for regulatory adherence and risk management</w:t>
        <w:br/>
        <w:br/>
        <w:t>Strategic Alignment:</w:t>
        <w:br/>
        <w:t>This project directly supports organizational strategic objectives by addressing critical business challenges and enabling competitive differentiation through Regulatory Compliance capabilities.</w:t>
        <w:br/>
        <w:br/>
        <w:t>Key Stakeholders:</w:t>
        <w:br/>
        <w:t>• Compliance Officers</w:t>
        <w:br/>
        <w:t>• Legal Teams</w:t>
        <w:br/>
        <w:t>• Auditors</w:t>
        <w:br/>
        <w:t>• Risk Managers</w:t>
        <w:br/>
        <w:t>• Business Units</w:t>
        <w:br/>
        <w:t>• Regulatory Bodies</w:t>
        <w:br/>
      </w:r>
    </w:p>
    <w:p>
      <w:pPr>
        <w:pStyle w:val="Heading1"/>
      </w:pPr>
      <w:r>
        <w:t>BUSINESS CASE</w:t>
      </w:r>
    </w:p>
    <w:p>
      <w:r>
        <w:br/>
        <w:t>Current State Challenges:</w:t>
        <w:br/>
        <w:t>• Regulatory complexity</w:t>
        <w:br/>
        <w:t>• Compliance monitoring</w:t>
        <w:br/>
        <w:t>• Documentation requirements</w:t>
        <w:br/>
        <w:t>• Audit preparation</w:t>
        <w:br/>
        <w:t>• Change management</w:t>
        <w:br/>
        <w:br/>
        <w:t>Proposed Solution:</w:t>
        <w:br/>
        <w:t>Implementation of comprehensive Regulatory Compliance solution leveraging industry-leading technologies and best practices to address current challenges and enable future growth.</w:t>
        <w:br/>
        <w:br/>
        <w:t>Technology Components:</w:t>
        <w:br/>
        <w:t>• Compliance management systems</w:t>
        <w:br/>
        <w:t>• Document management</w:t>
        <w:br/>
        <w:t>• Audit tools</w:t>
        <w:br/>
        <w:t>• Risk assessment platforms</w:t>
        <w:br/>
        <w:t>• Reporting systems</w:t>
        <w:br/>
        <w:t>• Training platforms</w:t>
        <w:br/>
        <w:br/>
        <w:t>Financial Justification:</w:t>
        <w:br/>
        <w:t>• Total Investment: $2,200,000</w:t>
        <w:br/>
        <w:t>• Expected Annual Savings: $880,000</w:t>
        <w:br/>
        <w:t>• Break-even Timeline: 30 months</w:t>
        <w:br/>
        <w:t>• 3-Year ROI: 285%</w:t>
        <w:br/>
        <w:t>• NPV (10% discount): $3,960,000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Compliance Technology: $330,000</w:t>
        <w:br/>
        <w:t>• Legal &amp; Consulting: $440,000</w:t>
        <w:br/>
        <w:t>• Training &amp; Awareness: $550,000</w:t>
        <w:br/>
        <w:t>• Audit &amp; Assessment: $660,000</w:t>
        <w:br/>
        <w:t>• Documentation &amp; Reporting: $770,000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Regulatory Compliance Score</w:t>
        <w:br/>
        <w:t>• Audit Finding Count</w:t>
        <w:br/>
        <w:t>• Documentation Completeness Rate</w:t>
        <w:br/>
        <w:t>• Training Completion Rate</w:t>
        <w:br/>
        <w:t>• Risk Assessment Accuracy</w:t>
        <w:br/>
        <w:t>• Vendor Compliance Rate</w:t>
        <w:br/>
        <w:t>• Regulatory Change Response Time</w:t>
        <w:br/>
        <w:t>• Penalty Avoidance Rate</w:t>
        <w:br/>
        <w:t>• Executive Compliance Engagement</w:t>
        <w:br/>
        <w:t>• International Alignment Score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