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FINANCE - CORE BANKING SYSTEM MODERNIZATION</w:t>
        <w:br/>
        <w:t>COMMUNICATIONS MANAGEMENT PLAN</w:t>
      </w:r>
    </w:p>
    <w:p>
      <w:r>
        <w:t>PMI 2025 Standards Compliant</w:t>
      </w:r>
    </w:p>
    <w:p>
      <w:pPr>
        <w:pStyle w:val="Heading1"/>
      </w:pPr>
      <w:r>
        <w:t>COMMUNICATION STRATEGY</w:t>
      </w:r>
    </w:p>
    <w:p>
      <w:r>
        <w:t>This plan defines the communication approach for the Core Banking System Modernization project.</w:t>
      </w:r>
    </w:p>
    <w:p>
      <w:pPr>
        <w:pStyle w:val="Heading1"/>
      </w:pPr>
      <w:r>
        <w:t>STAKEHOLDER COMMUNICATION MATRIX</w:t>
      </w:r>
    </w:p>
    <w:p>
      <w:r>
        <w:t>Executive Leadership: Monthly status reports</w:t>
      </w:r>
    </w:p>
    <w:p>
      <w:r>
        <w:t>Project Team: Daily standups and weekly team meetings</w:t>
      </w:r>
    </w:p>
    <w:p>
      <w:r>
        <w:t>End Users: Bi-weekly newsletters and training announcements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