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6746" w14:textId="77777777" w:rsidR="001A1F7E" w:rsidRPr="007D7261" w:rsidRDefault="00000000">
      <w:pPr>
        <w:pStyle w:val="Titre1"/>
        <w:rPr>
          <w:lang w:val="fr-FR"/>
        </w:rPr>
      </w:pPr>
      <w:r w:rsidRPr="007D7261">
        <w:rPr>
          <w:lang w:val="fr-FR"/>
        </w:rPr>
        <w:t>Méta-analyse scientifique : L'alignement des Large Language Models (LLMs)</w:t>
      </w:r>
    </w:p>
    <w:p w14:paraId="3E351D0C" w14:textId="77777777" w:rsidR="001A1F7E" w:rsidRPr="007D7261" w:rsidRDefault="00000000">
      <w:pPr>
        <w:pStyle w:val="Titre2"/>
        <w:rPr>
          <w:lang w:val="fr-FR"/>
        </w:rPr>
      </w:pPr>
      <w:r w:rsidRPr="007D7261">
        <w:rPr>
          <w:lang w:val="fr-FR"/>
        </w:rPr>
        <w:t>1. Introduction</w:t>
      </w:r>
    </w:p>
    <w:p w14:paraId="16A8393E" w14:textId="77777777" w:rsidR="001A1F7E" w:rsidRPr="007D7261" w:rsidRDefault="00000000">
      <w:pPr>
        <w:rPr>
          <w:lang w:val="fr-FR"/>
        </w:rPr>
      </w:pPr>
      <w:r w:rsidRPr="007D7261">
        <w:rPr>
          <w:lang w:val="fr-FR"/>
        </w:rPr>
        <w:t>Les grands modèles de langage (LLMs) constituent une avancée majeure en intelligence artificielle. Grâce à l'architecture Transformer et à un pré-entraînement sur d'immenses corpus, ils réalisent des tâches variées. Cependant, leur utilité dépend fortement de leur alignement avec les intentions humaines. Cette méta‑analyse compare quatre articles majeurs : InstructGPT, Self‑Instruct, Llama 2 et Direct Preference Optimization (DPO). L'objectif est de comparer leurs méthodes, leurs jeux de données, leurs évaluations, leurs contributions et leurs limites afin d'identifier les tendances actuelles de la recherche.</w:t>
      </w:r>
    </w:p>
    <w:p w14:paraId="4EA8B7DE" w14:textId="77777777" w:rsidR="001A1F7E" w:rsidRPr="007D7261" w:rsidRDefault="00000000">
      <w:pPr>
        <w:pStyle w:val="Titre2"/>
        <w:rPr>
          <w:lang w:val="fr-FR"/>
        </w:rPr>
      </w:pPr>
      <w:r w:rsidRPr="007D7261">
        <w:rPr>
          <w:lang w:val="fr-FR"/>
        </w:rPr>
        <w:t>2. Résumé des articles</w:t>
      </w:r>
    </w:p>
    <w:p w14:paraId="39A2B044" w14:textId="77777777" w:rsidR="001A1F7E" w:rsidRPr="007D7261" w:rsidRDefault="00000000">
      <w:pPr>
        <w:pStyle w:val="Titre3"/>
        <w:rPr>
          <w:lang w:val="fr-FR"/>
        </w:rPr>
      </w:pPr>
      <w:r w:rsidRPr="007D7261">
        <w:rPr>
          <w:lang w:val="fr-FR"/>
        </w:rPr>
        <w:t>InstructGPT</w:t>
      </w:r>
    </w:p>
    <w:p w14:paraId="3150FAC5" w14:textId="77777777" w:rsidR="001A1F7E" w:rsidRDefault="00000000">
      <w:r w:rsidRPr="007D7261">
        <w:rPr>
          <w:lang w:val="fr-FR"/>
        </w:rPr>
        <w:t xml:space="preserve">Citation : Ouyang et al. </w:t>
      </w:r>
      <w:r>
        <w:t>(2022). Training Language Models to Follow Instructions with Human Feedback.</w:t>
      </w:r>
    </w:p>
    <w:p w14:paraId="0AB117C9" w14:textId="77777777" w:rsidR="001A1F7E" w:rsidRPr="007D7261" w:rsidRDefault="00000000">
      <w:pPr>
        <w:rPr>
          <w:lang w:val="fr-FR"/>
        </w:rPr>
      </w:pPr>
      <w:r w:rsidRPr="007D7261">
        <w:rPr>
          <w:lang w:val="fr-FR"/>
        </w:rPr>
        <w:t>Le problème est que GPT‑3 produit parfois des réponses incorrectes ou non souhaitées. Les auteurs proposent le RLHF : démonstrations humaines, modèle de récompense puis optimisation par renforcement. Données : démonstrations et comparaisons humaines. Architecture : GPT‑3. Évaluation : préférences humaines, véracité, toxicité. Résultat : un modèle de 1,3B paramètres est souvent préféré au GPT‑3 175B.</w:t>
      </w:r>
    </w:p>
    <w:p w14:paraId="46EA20AF" w14:textId="77777777" w:rsidR="001A1F7E" w:rsidRDefault="00000000">
      <w:pPr>
        <w:pStyle w:val="Titre3"/>
      </w:pPr>
      <w:r>
        <w:t>Self‑Instruct</w:t>
      </w:r>
    </w:p>
    <w:p w14:paraId="1EF4A8ED" w14:textId="77777777" w:rsidR="001A1F7E" w:rsidRDefault="00000000">
      <w:r>
        <w:t>Citation : Wang et al. (2023). Self‑Instruct: Aligning Language Models with Self‑Generated Instructions.</w:t>
      </w:r>
    </w:p>
    <w:p w14:paraId="2B014D49" w14:textId="77777777" w:rsidR="001A1F7E" w:rsidRPr="007D7261" w:rsidRDefault="00000000">
      <w:pPr>
        <w:rPr>
          <w:lang w:val="fr-FR"/>
        </w:rPr>
      </w:pPr>
      <w:r w:rsidRPr="007D7261">
        <w:rPr>
          <w:lang w:val="fr-FR"/>
        </w:rPr>
        <w:t>Le coût des annotations humaines limite l'alignement. Les auteurs utilisent GPT pour générer automatiquement des dizaines de milliers d'instructions et de réponses servant au fine‑tuning. Les performances augmentent nettement sur les tâches de suivi d'instructions.</w:t>
      </w:r>
    </w:p>
    <w:p w14:paraId="6BFEC468" w14:textId="77777777" w:rsidR="001A1F7E" w:rsidRPr="007D7261" w:rsidRDefault="00000000">
      <w:pPr>
        <w:pStyle w:val="Titre3"/>
        <w:rPr>
          <w:lang w:val="fr-FR"/>
        </w:rPr>
      </w:pPr>
      <w:r w:rsidRPr="007D7261">
        <w:rPr>
          <w:lang w:val="fr-FR"/>
        </w:rPr>
        <w:t>Llama 2</w:t>
      </w:r>
    </w:p>
    <w:p w14:paraId="27C1B049" w14:textId="77777777" w:rsidR="001A1F7E" w:rsidRDefault="00000000">
      <w:r w:rsidRPr="007D7261">
        <w:rPr>
          <w:lang w:val="fr-FR"/>
        </w:rPr>
        <w:t xml:space="preserve">Citation : Touvron et al. </w:t>
      </w:r>
      <w:r>
        <w:t>(2023). Llama 2: Open Foundation and Fine‑Tuned Chat Models.</w:t>
      </w:r>
    </w:p>
    <w:p w14:paraId="4C94A694" w14:textId="77777777" w:rsidR="001A1F7E" w:rsidRPr="007D7261" w:rsidRDefault="00000000">
      <w:pPr>
        <w:rPr>
          <w:lang w:val="fr-FR"/>
        </w:rPr>
      </w:pPr>
      <w:r w:rsidRPr="007D7261">
        <w:rPr>
          <w:lang w:val="fr-FR"/>
        </w:rPr>
        <w:t>Meta présente une famille de modèles ouverts (7B,13B,70B). Après un vaste pré‑entraînement, les modèles Chat sont affinés avec SFT puis RLHF. Les évaluations sur MMLU, HellaSwag et BBH montrent des performances proches de nombreux modèles propriétaires.</w:t>
      </w:r>
    </w:p>
    <w:p w14:paraId="7DC74F3B" w14:textId="77777777" w:rsidR="001A1F7E" w:rsidRDefault="00000000">
      <w:pPr>
        <w:pStyle w:val="Titre3"/>
      </w:pPr>
      <w:r>
        <w:t>Direct Preference Optimization</w:t>
      </w:r>
    </w:p>
    <w:p w14:paraId="623797F9" w14:textId="77777777" w:rsidR="001A1F7E" w:rsidRDefault="00000000">
      <w:r>
        <w:t>Citation : Rafailov et al. (2023). Direct Preference Optimization: Your Language Model is Secretly a Reward Model.</w:t>
      </w:r>
    </w:p>
    <w:p w14:paraId="09CE09F2" w14:textId="77777777" w:rsidR="001A1F7E" w:rsidRPr="007D7261" w:rsidRDefault="00000000">
      <w:pPr>
        <w:rPr>
          <w:lang w:val="fr-FR"/>
        </w:rPr>
      </w:pPr>
      <w:r w:rsidRPr="007D7261">
        <w:rPr>
          <w:lang w:val="fr-FR"/>
        </w:rPr>
        <w:lastRenderedPageBreak/>
        <w:t>Les auteurs montrent que le RLHF peut être remplacé par une optimisation directe sur les préférences humaines sans apprentissage par renforcement explicite. Cette méthode réduit la complexité tout en conservant des performances comparables.</w:t>
      </w:r>
    </w:p>
    <w:p w14:paraId="40603E43" w14:textId="77777777" w:rsidR="001A1F7E" w:rsidRDefault="00000000">
      <w:pPr>
        <w:pStyle w:val="Titre2"/>
      </w:pPr>
      <w:r>
        <w:t>3. Analyse comparative</w:t>
      </w:r>
    </w:p>
    <w:tbl>
      <w:tblPr>
        <w:tblW w:w="0" w:type="auto"/>
        <w:tblLook w:val="04A0" w:firstRow="1" w:lastRow="0" w:firstColumn="1" w:lastColumn="0" w:noHBand="0" w:noVBand="1"/>
      </w:tblPr>
      <w:tblGrid>
        <w:gridCol w:w="1728"/>
        <w:gridCol w:w="1728"/>
        <w:gridCol w:w="1728"/>
        <w:gridCol w:w="1728"/>
        <w:gridCol w:w="1728"/>
      </w:tblGrid>
      <w:tr w:rsidR="001A1F7E" w14:paraId="3B44F1E0" w14:textId="77777777">
        <w:tc>
          <w:tcPr>
            <w:tcW w:w="1728" w:type="dxa"/>
          </w:tcPr>
          <w:p w14:paraId="474176C4" w14:textId="77777777" w:rsidR="001A1F7E" w:rsidRDefault="00000000">
            <w:r>
              <w:t>Critère</w:t>
            </w:r>
          </w:p>
        </w:tc>
        <w:tc>
          <w:tcPr>
            <w:tcW w:w="1728" w:type="dxa"/>
          </w:tcPr>
          <w:p w14:paraId="357622A8" w14:textId="77777777" w:rsidR="001A1F7E" w:rsidRDefault="00000000">
            <w:r>
              <w:t>InstructGPT</w:t>
            </w:r>
          </w:p>
        </w:tc>
        <w:tc>
          <w:tcPr>
            <w:tcW w:w="1728" w:type="dxa"/>
          </w:tcPr>
          <w:p w14:paraId="101C5EA0" w14:textId="77777777" w:rsidR="001A1F7E" w:rsidRDefault="00000000">
            <w:r>
              <w:t>Self‑Instruct</w:t>
            </w:r>
          </w:p>
        </w:tc>
        <w:tc>
          <w:tcPr>
            <w:tcW w:w="1728" w:type="dxa"/>
          </w:tcPr>
          <w:p w14:paraId="2B66E091" w14:textId="77777777" w:rsidR="001A1F7E" w:rsidRDefault="00000000">
            <w:r>
              <w:t>Llama2</w:t>
            </w:r>
          </w:p>
        </w:tc>
        <w:tc>
          <w:tcPr>
            <w:tcW w:w="1728" w:type="dxa"/>
          </w:tcPr>
          <w:p w14:paraId="24C1D63F" w14:textId="77777777" w:rsidR="001A1F7E" w:rsidRDefault="00000000">
            <w:r>
              <w:t>DPO</w:t>
            </w:r>
          </w:p>
        </w:tc>
      </w:tr>
      <w:tr w:rsidR="001A1F7E" w14:paraId="2991134D" w14:textId="77777777">
        <w:tc>
          <w:tcPr>
            <w:tcW w:w="1728" w:type="dxa"/>
          </w:tcPr>
          <w:p w14:paraId="5EFFE0AF" w14:textId="77777777" w:rsidR="001A1F7E" w:rsidRDefault="00000000">
            <w:r>
              <w:t>Objectif</w:t>
            </w:r>
          </w:p>
        </w:tc>
        <w:tc>
          <w:tcPr>
            <w:tcW w:w="1728" w:type="dxa"/>
          </w:tcPr>
          <w:p w14:paraId="195B9043" w14:textId="77777777" w:rsidR="001A1F7E" w:rsidRDefault="00000000">
            <w:r>
              <w:t>Alignement</w:t>
            </w:r>
          </w:p>
        </w:tc>
        <w:tc>
          <w:tcPr>
            <w:tcW w:w="1728" w:type="dxa"/>
          </w:tcPr>
          <w:p w14:paraId="68BA2963" w14:textId="77777777" w:rsidR="001A1F7E" w:rsidRDefault="00000000">
            <w:r>
              <w:t>Réduire annotations</w:t>
            </w:r>
          </w:p>
        </w:tc>
        <w:tc>
          <w:tcPr>
            <w:tcW w:w="1728" w:type="dxa"/>
          </w:tcPr>
          <w:p w14:paraId="48D2AD01" w14:textId="77777777" w:rsidR="001A1F7E" w:rsidRDefault="00000000">
            <w:r>
              <w:t>LLM ouvert</w:t>
            </w:r>
          </w:p>
        </w:tc>
        <w:tc>
          <w:tcPr>
            <w:tcW w:w="1728" w:type="dxa"/>
          </w:tcPr>
          <w:p w14:paraId="5543EABC" w14:textId="77777777" w:rsidR="001A1F7E" w:rsidRDefault="00000000">
            <w:r>
              <w:t>Simplifier RLHF</w:t>
            </w:r>
          </w:p>
        </w:tc>
      </w:tr>
      <w:tr w:rsidR="001A1F7E" w14:paraId="41228492" w14:textId="77777777">
        <w:tc>
          <w:tcPr>
            <w:tcW w:w="1728" w:type="dxa"/>
          </w:tcPr>
          <w:p w14:paraId="3D9E451E" w14:textId="77777777" w:rsidR="001A1F7E" w:rsidRDefault="00000000">
            <w:r>
              <w:t>Innovation</w:t>
            </w:r>
          </w:p>
        </w:tc>
        <w:tc>
          <w:tcPr>
            <w:tcW w:w="1728" w:type="dxa"/>
          </w:tcPr>
          <w:p w14:paraId="7BCE690F" w14:textId="77777777" w:rsidR="001A1F7E" w:rsidRDefault="00000000">
            <w:r>
              <w:t>RLHF</w:t>
            </w:r>
          </w:p>
        </w:tc>
        <w:tc>
          <w:tcPr>
            <w:tcW w:w="1728" w:type="dxa"/>
          </w:tcPr>
          <w:p w14:paraId="38A16A7F" w14:textId="77777777" w:rsidR="001A1F7E" w:rsidRDefault="00000000">
            <w:r>
              <w:t>Instructions synthétiques</w:t>
            </w:r>
          </w:p>
        </w:tc>
        <w:tc>
          <w:tcPr>
            <w:tcW w:w="1728" w:type="dxa"/>
          </w:tcPr>
          <w:p w14:paraId="237F6254" w14:textId="77777777" w:rsidR="001A1F7E" w:rsidRDefault="00000000">
            <w:r>
              <w:t>SFT+RLHF</w:t>
            </w:r>
          </w:p>
        </w:tc>
        <w:tc>
          <w:tcPr>
            <w:tcW w:w="1728" w:type="dxa"/>
          </w:tcPr>
          <w:p w14:paraId="68EC0256" w14:textId="77777777" w:rsidR="001A1F7E" w:rsidRDefault="00000000">
            <w:r>
              <w:t>Optimisation directe</w:t>
            </w:r>
          </w:p>
        </w:tc>
      </w:tr>
      <w:tr w:rsidR="001A1F7E" w14:paraId="2D74B4F9" w14:textId="77777777">
        <w:tc>
          <w:tcPr>
            <w:tcW w:w="1728" w:type="dxa"/>
          </w:tcPr>
          <w:p w14:paraId="64449B05" w14:textId="77777777" w:rsidR="001A1F7E" w:rsidRDefault="00000000">
            <w:r>
              <w:t>Jeux de données</w:t>
            </w:r>
          </w:p>
        </w:tc>
        <w:tc>
          <w:tcPr>
            <w:tcW w:w="1728" w:type="dxa"/>
          </w:tcPr>
          <w:p w14:paraId="36FC01AF" w14:textId="77777777" w:rsidR="001A1F7E" w:rsidRDefault="00000000">
            <w:r>
              <w:t>Préférences humaines</w:t>
            </w:r>
          </w:p>
        </w:tc>
        <w:tc>
          <w:tcPr>
            <w:tcW w:w="1728" w:type="dxa"/>
          </w:tcPr>
          <w:p w14:paraId="7CD95B81" w14:textId="77777777" w:rsidR="001A1F7E" w:rsidRDefault="00000000">
            <w:r>
              <w:t>52k instructions</w:t>
            </w:r>
          </w:p>
        </w:tc>
        <w:tc>
          <w:tcPr>
            <w:tcW w:w="1728" w:type="dxa"/>
          </w:tcPr>
          <w:p w14:paraId="39986843" w14:textId="77777777" w:rsidR="001A1F7E" w:rsidRDefault="00000000">
            <w:r>
              <w:t>≈2T tokens</w:t>
            </w:r>
          </w:p>
        </w:tc>
        <w:tc>
          <w:tcPr>
            <w:tcW w:w="1728" w:type="dxa"/>
          </w:tcPr>
          <w:p w14:paraId="26E4AAAF" w14:textId="77777777" w:rsidR="001A1F7E" w:rsidRDefault="00000000">
            <w:r>
              <w:t>Préférences humaines</w:t>
            </w:r>
          </w:p>
        </w:tc>
      </w:tr>
      <w:tr w:rsidR="001A1F7E" w14:paraId="339AFCB8" w14:textId="77777777">
        <w:tc>
          <w:tcPr>
            <w:tcW w:w="1728" w:type="dxa"/>
          </w:tcPr>
          <w:p w14:paraId="714F6D2D" w14:textId="77777777" w:rsidR="001A1F7E" w:rsidRDefault="00000000">
            <w:r>
              <w:t>Forces</w:t>
            </w:r>
          </w:p>
        </w:tc>
        <w:tc>
          <w:tcPr>
            <w:tcW w:w="1728" w:type="dxa"/>
          </w:tcPr>
          <w:p w14:paraId="0F1C4472" w14:textId="77777777" w:rsidR="001A1F7E" w:rsidRDefault="00000000">
            <w:r>
              <w:t>Très bon alignement</w:t>
            </w:r>
          </w:p>
        </w:tc>
        <w:tc>
          <w:tcPr>
            <w:tcW w:w="1728" w:type="dxa"/>
          </w:tcPr>
          <w:p w14:paraId="4A7A8EDF" w14:textId="77777777" w:rsidR="001A1F7E" w:rsidRDefault="00000000">
            <w:r>
              <w:t>Faible coût</w:t>
            </w:r>
          </w:p>
        </w:tc>
        <w:tc>
          <w:tcPr>
            <w:tcW w:w="1728" w:type="dxa"/>
          </w:tcPr>
          <w:p w14:paraId="5AC7E976" w14:textId="77777777" w:rsidR="001A1F7E" w:rsidRDefault="00000000">
            <w:r>
              <w:t>Excellent compromis</w:t>
            </w:r>
          </w:p>
        </w:tc>
        <w:tc>
          <w:tcPr>
            <w:tcW w:w="1728" w:type="dxa"/>
          </w:tcPr>
          <w:p w14:paraId="425435A6" w14:textId="77777777" w:rsidR="001A1F7E" w:rsidRDefault="00000000">
            <w:r>
              <w:t>Méthode simple</w:t>
            </w:r>
          </w:p>
        </w:tc>
      </w:tr>
      <w:tr w:rsidR="001A1F7E" w14:paraId="1F39ABDE" w14:textId="77777777">
        <w:tc>
          <w:tcPr>
            <w:tcW w:w="1728" w:type="dxa"/>
          </w:tcPr>
          <w:p w14:paraId="5BDDE965" w14:textId="77777777" w:rsidR="001A1F7E" w:rsidRDefault="00000000">
            <w:r>
              <w:t>Limites</w:t>
            </w:r>
          </w:p>
        </w:tc>
        <w:tc>
          <w:tcPr>
            <w:tcW w:w="1728" w:type="dxa"/>
          </w:tcPr>
          <w:p w14:paraId="6B4FBDA0" w14:textId="77777777" w:rsidR="001A1F7E" w:rsidRDefault="00000000">
            <w:r>
              <w:t>Pipeline complexe</w:t>
            </w:r>
          </w:p>
        </w:tc>
        <w:tc>
          <w:tcPr>
            <w:tcW w:w="1728" w:type="dxa"/>
          </w:tcPr>
          <w:p w14:paraId="6D2A9F94" w14:textId="77777777" w:rsidR="001A1F7E" w:rsidRDefault="00000000">
            <w:r>
              <w:t>Qualité variable</w:t>
            </w:r>
          </w:p>
        </w:tc>
        <w:tc>
          <w:tcPr>
            <w:tcW w:w="1728" w:type="dxa"/>
          </w:tcPr>
          <w:p w14:paraId="1738E5BB" w14:textId="77777777" w:rsidR="001A1F7E" w:rsidRDefault="00000000">
            <w:r>
              <w:t>Coût d'entraînement</w:t>
            </w:r>
          </w:p>
        </w:tc>
        <w:tc>
          <w:tcPr>
            <w:tcW w:w="1728" w:type="dxa"/>
          </w:tcPr>
          <w:p w14:paraId="7CD1FF3C" w14:textId="77777777" w:rsidR="001A1F7E" w:rsidRDefault="00000000">
            <w:r>
              <w:t>Encore récent</w:t>
            </w:r>
          </w:p>
        </w:tc>
      </w:tr>
    </w:tbl>
    <w:p w14:paraId="02831BEC" w14:textId="77777777" w:rsidR="001A1F7E" w:rsidRPr="007D7261" w:rsidRDefault="00000000">
      <w:pPr>
        <w:rPr>
          <w:lang w:val="fr-FR"/>
        </w:rPr>
      </w:pPr>
      <w:r w:rsidRPr="007D7261">
        <w:rPr>
          <w:lang w:val="fr-FR"/>
        </w:rPr>
        <w:t>Les quatre travaux poursuivent le même objectif : améliorer les réponses des LLMs. On observe une évolution progressive des méthodes : RLHF, génération d'instructions synthétiques, modèles ouverts et optimisation directe. Les évaluations combinent généralement benchmarks académiques et préférences humaines, ce qui montre que la qualité conversationnelle devient aussi importante que les scores classiques.</w:t>
      </w:r>
    </w:p>
    <w:p w14:paraId="7AD2F004" w14:textId="77777777" w:rsidR="001A1F7E" w:rsidRPr="007D7261" w:rsidRDefault="00000000">
      <w:pPr>
        <w:pStyle w:val="Titre2"/>
        <w:rPr>
          <w:lang w:val="fr-FR"/>
        </w:rPr>
      </w:pPr>
      <w:r w:rsidRPr="007D7261">
        <w:rPr>
          <w:lang w:val="fr-FR"/>
        </w:rPr>
        <w:t>4. Réflexions</w:t>
      </w:r>
    </w:p>
    <w:p w14:paraId="094ECE02" w14:textId="77777777" w:rsidR="001A1F7E" w:rsidRPr="007D7261" w:rsidRDefault="00000000">
      <w:pPr>
        <w:rPr>
          <w:lang w:val="fr-FR"/>
        </w:rPr>
      </w:pPr>
      <w:r w:rsidRPr="007D7261">
        <w:rPr>
          <w:lang w:val="fr-FR"/>
        </w:rPr>
        <w:t>Une première tendance est la recherche d'un meilleur alignement entre les réponses du modèle et les attentes humaines. Une seconde tendance consiste à réduire les coûts liés aux annotations et à l'entraînement. Les modèles ouverts comme Llama 2 favorisent la reproductibilité et l'innovation. Les défis communs restent les hallucinations, les biais, la consommation de ressources et la difficulté d'obtenir des évaluations parfaitement objectives. Les futures recherches devraient explorer des méthodes d'alignement moins coûteuses, des techniques réduisant les hallucinations, ainsi que des évaluations plus robustes et transparentes.</w:t>
      </w:r>
    </w:p>
    <w:p w14:paraId="2F41D335" w14:textId="77777777" w:rsidR="001A1F7E" w:rsidRPr="007D7261" w:rsidRDefault="00000000">
      <w:pPr>
        <w:pStyle w:val="Titre2"/>
        <w:rPr>
          <w:lang w:val="fr-FR"/>
        </w:rPr>
      </w:pPr>
      <w:r w:rsidRPr="007D7261">
        <w:rPr>
          <w:lang w:val="fr-FR"/>
        </w:rPr>
        <w:t>5. Conclusion</w:t>
      </w:r>
    </w:p>
    <w:p w14:paraId="0B505FBD" w14:textId="77777777" w:rsidR="001A1F7E" w:rsidRPr="007D7261" w:rsidRDefault="00000000">
      <w:pPr>
        <w:rPr>
          <w:lang w:val="fr-FR"/>
        </w:rPr>
      </w:pPr>
      <w:r w:rsidRPr="007D7261">
        <w:rPr>
          <w:lang w:val="fr-FR"/>
        </w:rPr>
        <w:t>Cette méta‑analyse montre que l'alignement est devenu un thème central de la recherche sur les LLMs. InstructGPT a popularisé le RLHF, Self‑Instruct a réduit la dépendance aux annotations humaines, Llama 2 a démocratisé les modèles ouverts et DPO a simplifié le processus d'optimisation. Ensemble, ces travaux illustrent l'évolution rapide du domaine et ouvrent la voie à des modèles plus fiables, efficaces et accessibles.</w:t>
      </w:r>
    </w:p>
    <w:p w14:paraId="25759414" w14:textId="77777777" w:rsidR="001A1F7E" w:rsidRDefault="00000000">
      <w:pPr>
        <w:pStyle w:val="Titre2"/>
      </w:pPr>
      <w:r>
        <w:lastRenderedPageBreak/>
        <w:t>Références</w:t>
      </w:r>
    </w:p>
    <w:p w14:paraId="2ABE8282" w14:textId="77777777" w:rsidR="001A1F7E" w:rsidRDefault="00000000">
      <w:pPr>
        <w:pStyle w:val="Listepuces"/>
      </w:pPr>
      <w:r>
        <w:t>1. Ouyang, L. et al. (2022). Training Language Models to Follow Instructions with Human Feedback. https://arxiv.org/abs/2203.02155</w:t>
      </w:r>
    </w:p>
    <w:p w14:paraId="69A17464" w14:textId="77777777" w:rsidR="001A1F7E" w:rsidRDefault="00000000">
      <w:pPr>
        <w:pStyle w:val="Listepuces"/>
      </w:pPr>
      <w:r>
        <w:t>2. Wang, Y. et al. (2023). Self‑Instruct. https://arxiv.org/abs/2212.10560</w:t>
      </w:r>
    </w:p>
    <w:p w14:paraId="71FAFEE3" w14:textId="77777777" w:rsidR="001A1F7E" w:rsidRPr="007D7261" w:rsidRDefault="00000000">
      <w:pPr>
        <w:pStyle w:val="Listepuces"/>
        <w:rPr>
          <w:lang w:val="fr-FR"/>
        </w:rPr>
      </w:pPr>
      <w:r w:rsidRPr="007D7261">
        <w:rPr>
          <w:lang w:val="fr-FR"/>
        </w:rPr>
        <w:t>3. Touvron, H. et al. (2023). Llama 2. https://arxiv.org/abs/2307.09288</w:t>
      </w:r>
    </w:p>
    <w:p w14:paraId="45112D25" w14:textId="77777777" w:rsidR="001A1F7E" w:rsidRDefault="00000000">
      <w:pPr>
        <w:pStyle w:val="Listepuces"/>
      </w:pPr>
      <w:r>
        <w:t>4. Rafailov, R. et al. (2023). Direct Preference Optimization. https://arxiv.org/abs/2305.18290</w:t>
      </w:r>
    </w:p>
    <w:sectPr w:rsidR="001A1F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005503">
    <w:abstractNumId w:val="8"/>
  </w:num>
  <w:num w:numId="2" w16cid:durableId="270402121">
    <w:abstractNumId w:val="6"/>
  </w:num>
  <w:num w:numId="3" w16cid:durableId="1785342270">
    <w:abstractNumId w:val="5"/>
  </w:num>
  <w:num w:numId="4" w16cid:durableId="1180317057">
    <w:abstractNumId w:val="4"/>
  </w:num>
  <w:num w:numId="5" w16cid:durableId="1431969986">
    <w:abstractNumId w:val="7"/>
  </w:num>
  <w:num w:numId="6" w16cid:durableId="1050807414">
    <w:abstractNumId w:val="3"/>
  </w:num>
  <w:num w:numId="7" w16cid:durableId="1974283827">
    <w:abstractNumId w:val="2"/>
  </w:num>
  <w:num w:numId="8" w16cid:durableId="1363870169">
    <w:abstractNumId w:val="1"/>
  </w:num>
  <w:num w:numId="9" w16cid:durableId="110437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7E"/>
    <w:rsid w:val="0029639D"/>
    <w:rsid w:val="00326F90"/>
    <w:rsid w:val="007D7261"/>
    <w:rsid w:val="009C62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DEA1E"/>
  <w14:defaultImageDpi w14:val="300"/>
  <w15:docId w15:val="{FF5D54E6-445A-4EAB-AFC6-DB25BBB2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722</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innocent ouattara</cp:lastModifiedBy>
  <cp:revision>2</cp:revision>
  <dcterms:created xsi:type="dcterms:W3CDTF">2013-12-23T23:15:00Z</dcterms:created>
  <dcterms:modified xsi:type="dcterms:W3CDTF">2026-07-08T11:47:00Z</dcterms:modified>
  <cp:category/>
</cp:coreProperties>
</file>