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321E" w14:textId="52DA860E" w:rsidR="005C223F" w:rsidRDefault="00F21ADA" w:rsidP="004B0207">
      <w:pPr>
        <w:pStyle w:val="Title"/>
      </w:pPr>
      <w:r>
        <w:t>IPHC setline survey a</w:t>
      </w:r>
      <w:r w:rsidR="006343AB">
        <w:t xml:space="preserve">bundance </w:t>
      </w:r>
      <w:r>
        <w:t>indices for non-halibut species</w:t>
      </w:r>
    </w:p>
    <w:p w14:paraId="6402A5BA" w14:textId="77777777" w:rsidR="005C223F" w:rsidRDefault="005C223F" w:rsidP="002E67FC"/>
    <w:p w14:paraId="549CC1F0" w14:textId="2C8710A7" w:rsidR="00D6459A" w:rsidRDefault="00D6459A" w:rsidP="002E67FC">
      <w:pPr>
        <w:rPr>
          <w:vertAlign w:val="superscript"/>
        </w:rPr>
      </w:pPr>
      <w:r>
        <w:t>Jane Sullivan</w:t>
      </w:r>
      <w:r w:rsidR="00F21ADA">
        <w:rPr>
          <w:vertAlign w:val="superscript"/>
        </w:rPr>
        <w:t>1</w:t>
      </w:r>
      <w:r>
        <w:t xml:space="preserve">, </w:t>
      </w:r>
      <w:r w:rsidR="00F21ADA">
        <w:t>Cindy Tribuzio</w:t>
      </w:r>
      <w:r w:rsidR="00F21ADA">
        <w:rPr>
          <w:vertAlign w:val="superscript"/>
        </w:rPr>
        <w:t>1</w:t>
      </w:r>
      <w:r w:rsidR="00F21ADA">
        <w:t>, Matt Callahan</w:t>
      </w:r>
      <w:r w:rsidR="00F21ADA">
        <w:rPr>
          <w:vertAlign w:val="superscript"/>
        </w:rPr>
        <w:t>2</w:t>
      </w:r>
      <w:r w:rsidR="00F21ADA">
        <w:t>, Niels Leuthold</w:t>
      </w:r>
      <w:r w:rsidR="00F21ADA">
        <w:rPr>
          <w:vertAlign w:val="superscript"/>
        </w:rPr>
        <w:t>2</w:t>
      </w:r>
      <w:r w:rsidR="00F21ADA">
        <w:t>, Jean Lee</w:t>
      </w:r>
      <w:r w:rsidR="00F21ADA">
        <w:rPr>
          <w:vertAlign w:val="superscript"/>
        </w:rPr>
        <w:t>2</w:t>
      </w:r>
    </w:p>
    <w:p w14:paraId="54969130" w14:textId="2F4CB2F5" w:rsidR="00F21ADA" w:rsidRDefault="00F21ADA" w:rsidP="002E67FC">
      <w:pPr>
        <w:rPr>
          <w:vertAlign w:val="superscript"/>
        </w:rPr>
      </w:pPr>
    </w:p>
    <w:p w14:paraId="2C7A36A6" w14:textId="6CDAF18E" w:rsidR="00F21ADA" w:rsidRPr="00F21ADA" w:rsidRDefault="00F21ADA" w:rsidP="002E67FC">
      <w:r>
        <w:rPr>
          <w:vertAlign w:val="superscript"/>
        </w:rPr>
        <w:t>1</w:t>
      </w:r>
      <w:r>
        <w:t>Alaska Fisheries Science Center (AFSC)</w:t>
      </w:r>
      <w:r w:rsidR="001F2739">
        <w:t>, Auke Bay Labs (ABL), Marine Ecology and Stock Assessment (MESA)</w:t>
      </w:r>
    </w:p>
    <w:p w14:paraId="19DF9677" w14:textId="2922B4A0" w:rsidR="00F21ADA" w:rsidRDefault="00F21ADA" w:rsidP="002E67FC">
      <w:r>
        <w:rPr>
          <w:vertAlign w:val="superscript"/>
        </w:rPr>
        <w:t>2</w:t>
      </w:r>
      <w:r>
        <w:t>Alaska Fisheries Information Network (AKFIN)</w:t>
      </w:r>
      <w:r w:rsidR="001F2739">
        <w:t>, Pacific States Marine Fisheries Commission (PSMFC)</w:t>
      </w:r>
    </w:p>
    <w:p w14:paraId="0F798E09" w14:textId="454AA751" w:rsidR="00484E7B" w:rsidRDefault="00484E7B" w:rsidP="002E67FC"/>
    <w:p w14:paraId="3B4E67BB" w14:textId="305130A4" w:rsidR="00484E7B" w:rsidRPr="000D6E89" w:rsidRDefault="00484E7B" w:rsidP="002E67FC">
      <w:pPr>
        <w:rPr>
          <w:b/>
        </w:rPr>
      </w:pPr>
      <w:r w:rsidRPr="000D6E89">
        <w:rPr>
          <w:b/>
        </w:rPr>
        <w:t>Last updated: 2022-07-</w:t>
      </w:r>
      <w:r w:rsidR="000D6E89" w:rsidRPr="000D6E89">
        <w:rPr>
          <w:b/>
        </w:rPr>
        <w:t>20</w:t>
      </w:r>
    </w:p>
    <w:p w14:paraId="4AB43664" w14:textId="7E978A0B" w:rsidR="001F2739" w:rsidRDefault="001F2739" w:rsidP="002E67FC"/>
    <w:p w14:paraId="56E849DC" w14:textId="541E163F" w:rsidR="001F2739" w:rsidRDefault="0019601E" w:rsidP="001F2739">
      <w:r>
        <w:t xml:space="preserve">For questions about the data, </w:t>
      </w:r>
      <w:r w:rsidR="001F2739">
        <w:t xml:space="preserve">abundance index estimates, </w:t>
      </w:r>
      <w:r>
        <w:t xml:space="preserve">or </w:t>
      </w:r>
      <w:r w:rsidR="000D6E89">
        <w:t xml:space="preserve">database </w:t>
      </w:r>
      <w:bookmarkStart w:id="0" w:name="_GoBack"/>
      <w:bookmarkEnd w:id="0"/>
      <w:r>
        <w:t xml:space="preserve">queries </w:t>
      </w:r>
      <w:r w:rsidR="001F2739">
        <w:t xml:space="preserve">please contact </w:t>
      </w:r>
      <w:hyperlink r:id="rId6" w:history="1">
        <w:r w:rsidR="001F2739" w:rsidRPr="00F97556">
          <w:rPr>
            <w:rStyle w:val="Hyperlink"/>
          </w:rPr>
          <w:t>jane.sullivan@noaa.gov</w:t>
        </w:r>
      </w:hyperlink>
      <w:r w:rsidR="001F2739">
        <w:t xml:space="preserve"> or </w:t>
      </w:r>
      <w:hyperlink r:id="rId7" w:history="1">
        <w:r w:rsidR="001F2739" w:rsidRPr="00F97556">
          <w:rPr>
            <w:rStyle w:val="Hyperlink"/>
          </w:rPr>
          <w:t>cindy.tribuzio@noaa.gov</w:t>
        </w:r>
      </w:hyperlink>
      <w:r w:rsidR="001F2739">
        <w:t xml:space="preserve"> </w:t>
      </w:r>
    </w:p>
    <w:p w14:paraId="05B9CAEA" w14:textId="77777777" w:rsidR="001F2739" w:rsidRDefault="001F2739" w:rsidP="001F2739"/>
    <w:p w14:paraId="0CCA946A" w14:textId="456DE353" w:rsidR="001F2739" w:rsidRDefault="001F2739" w:rsidP="001F2739">
      <w:r>
        <w:t xml:space="preserve">For questions about AKFIN database access, please contact </w:t>
      </w:r>
      <w:hyperlink r:id="rId8" w:history="1">
        <w:r w:rsidRPr="00F97556">
          <w:rPr>
            <w:rStyle w:val="Hyperlink"/>
          </w:rPr>
          <w:t>matt.callahan@noaa.gov</w:t>
        </w:r>
      </w:hyperlink>
      <w:r>
        <w:t xml:space="preserve"> </w:t>
      </w:r>
    </w:p>
    <w:p w14:paraId="0956E4D6" w14:textId="77777777" w:rsidR="00D466B1" w:rsidRDefault="00D466B1" w:rsidP="002E67FC"/>
    <w:p w14:paraId="6595ACFF" w14:textId="77777777" w:rsidR="005C223F" w:rsidRDefault="005C223F" w:rsidP="004B0207">
      <w:pPr>
        <w:pStyle w:val="Heading1"/>
      </w:pPr>
      <w:r>
        <w:t>Background</w:t>
      </w:r>
    </w:p>
    <w:p w14:paraId="3A1AA8E0" w14:textId="77777777" w:rsidR="005C223F" w:rsidRDefault="005C223F" w:rsidP="002E67FC"/>
    <w:p w14:paraId="1B4A9562" w14:textId="33DC95E6" w:rsidR="00127526" w:rsidRDefault="00C672F4" w:rsidP="002E67FC">
      <w:r>
        <w:t>The International Pacific Halibut Commission (IPHC) conducts a</w:t>
      </w:r>
      <w:r w:rsidR="00F21ADA">
        <w:t>n annual</w:t>
      </w:r>
      <w:r>
        <w:t xml:space="preserve"> fisheries-independent setline survey (FISS) that </w:t>
      </w:r>
      <w:r w:rsidR="00F21ADA">
        <w:t>spans</w:t>
      </w:r>
      <w:r>
        <w:t xml:space="preserve"> the U.S. West Coast, Canada, Gulf of Alaska (GOA), eastern Bering Sea (</w:t>
      </w:r>
      <w:r w:rsidR="00E4458D">
        <w:t>BS</w:t>
      </w:r>
      <w:r>
        <w:t xml:space="preserve">), and Aleutian Islands (AI). Though the IPHC FISS is designed to inform the management and stock assessment of Pacific halibut, it has </w:t>
      </w:r>
      <w:r w:rsidR="00F21ADA">
        <w:t>the potential to inform</w:t>
      </w:r>
      <w:r w:rsidR="00922954">
        <w:t xml:space="preserve"> other groundfish stock assessments</w:t>
      </w:r>
      <w:r w:rsidR="00F21ADA">
        <w:t>, e.g.,</w:t>
      </w:r>
      <w:r w:rsidR="00D40E40">
        <w:t xml:space="preserve"> Pacific cod, yelloweye rockfish, spiny dogfish, arrowtooth flounder, and </w:t>
      </w:r>
      <w:r w:rsidR="00994154">
        <w:t>some</w:t>
      </w:r>
      <w:r w:rsidR="00D40E40">
        <w:t xml:space="preserve"> </w:t>
      </w:r>
      <w:r w:rsidR="00994154">
        <w:t>sharks and skates</w:t>
      </w:r>
      <w:r w:rsidR="00D40E40">
        <w:t xml:space="preserve">. </w:t>
      </w:r>
    </w:p>
    <w:p w14:paraId="318913CB" w14:textId="77777777" w:rsidR="00127526" w:rsidRDefault="00127526" w:rsidP="002E67FC"/>
    <w:p w14:paraId="525BB5A4" w14:textId="10B90949" w:rsidR="00F21ADA" w:rsidRDefault="00276DA0" w:rsidP="002E67FC">
      <w:r>
        <w:t>In this document,</w:t>
      </w:r>
      <w:r w:rsidR="00D40E40">
        <w:t xml:space="preserve"> we </w:t>
      </w:r>
      <w:r w:rsidR="002D754A">
        <w:t>summarize</w:t>
      </w:r>
      <w:r w:rsidR="00D40E40">
        <w:t xml:space="preserve"> documen</w:t>
      </w:r>
      <w:r w:rsidR="00691E33">
        <w:t xml:space="preserve">tation, </w:t>
      </w:r>
      <w:r w:rsidR="002D754A">
        <w:t>estimation methods</w:t>
      </w:r>
      <w:r w:rsidR="00691E33">
        <w:t>, and data caveats</w:t>
      </w:r>
      <w:r w:rsidR="002D754A">
        <w:t xml:space="preserve"> </w:t>
      </w:r>
      <w:r w:rsidR="00D40E40">
        <w:t xml:space="preserve">for </w:t>
      </w:r>
      <w:r w:rsidR="00C672F4">
        <w:t>IPHC FISS</w:t>
      </w:r>
      <w:r w:rsidR="005C223F">
        <w:t xml:space="preserve"> </w:t>
      </w:r>
      <w:r>
        <w:t xml:space="preserve">abundance indices. </w:t>
      </w:r>
      <w:r w:rsidR="00371C87">
        <w:t>T</w:t>
      </w:r>
      <w:r w:rsidR="005C223F">
        <w:t>he</w:t>
      </w:r>
      <w:r w:rsidR="001D204B">
        <w:t>se indices</w:t>
      </w:r>
      <w:r w:rsidR="00D40E40" w:rsidRPr="00D40E40">
        <w:t xml:space="preserve"> </w:t>
      </w:r>
      <w:r w:rsidR="00D40E40">
        <w:t>include catch per unit effort (CPUE) and</w:t>
      </w:r>
      <w:r w:rsidR="00371C87">
        <w:t xml:space="preserve"> </w:t>
      </w:r>
      <w:r w:rsidR="005C223F">
        <w:t>R</w:t>
      </w:r>
      <w:r w:rsidR="00D950B4">
        <w:t>elative Population Number</w:t>
      </w:r>
      <w:r w:rsidR="00D40E40">
        <w:t>s</w:t>
      </w:r>
      <w:r w:rsidR="00D950B4">
        <w:t xml:space="preserve"> (RPN</w:t>
      </w:r>
      <w:r w:rsidR="00D40E40">
        <w:t>s</w:t>
      </w:r>
      <w:r w:rsidR="00D950B4">
        <w:t>)</w:t>
      </w:r>
      <w:r w:rsidR="00922954">
        <w:t>. The</w:t>
      </w:r>
      <w:r w:rsidR="00715EE0">
        <w:t xml:space="preserve"> RPN </w:t>
      </w:r>
      <w:r w:rsidR="00D950B4">
        <w:t xml:space="preserve">is </w:t>
      </w:r>
      <w:r w:rsidR="00307433">
        <w:t xml:space="preserve">the number of fish caught per </w:t>
      </w:r>
      <w:r w:rsidR="00D40E40">
        <w:t>hook in a set</w:t>
      </w:r>
      <w:r w:rsidR="0019601E">
        <w:t xml:space="preserve"> (CPUE)</w:t>
      </w:r>
      <w:r w:rsidR="00715EE0">
        <w:t xml:space="preserve"> </w:t>
      </w:r>
      <w:r w:rsidR="00307433">
        <w:t>weighted by</w:t>
      </w:r>
      <w:r w:rsidR="00D950B4">
        <w:t xml:space="preserve"> the</w:t>
      </w:r>
      <w:r w:rsidR="00307433">
        <w:t xml:space="preserve"> area </w:t>
      </w:r>
      <w:r w:rsidR="00667906">
        <w:t xml:space="preserve">size </w:t>
      </w:r>
      <w:r w:rsidR="00715EE0">
        <w:t>(km</w:t>
      </w:r>
      <w:r w:rsidR="00307433" w:rsidRPr="00715EE0">
        <w:rPr>
          <w:vertAlign w:val="superscript"/>
        </w:rPr>
        <w:t>2</w:t>
      </w:r>
      <w:r w:rsidR="00307433">
        <w:t>) of a depth stratum</w:t>
      </w:r>
      <w:r w:rsidR="00D950B4">
        <w:t xml:space="preserve"> within a geographic area</w:t>
      </w:r>
      <w:r w:rsidR="00307433">
        <w:t>.</w:t>
      </w:r>
      <w:r w:rsidR="00691E33">
        <w:t xml:space="preserve"> RPNs are defined using NMFS bottom trawl survey area sizes and depth strata</w:t>
      </w:r>
      <w:r w:rsidR="00E71AA3">
        <w:t xml:space="preserve">, and the RPN point estimates and variances can be summed to </w:t>
      </w:r>
      <w:r w:rsidR="00922954">
        <w:t>across areas and/or depths</w:t>
      </w:r>
      <w:r w:rsidR="00E71AA3">
        <w:t xml:space="preserve">. In contrast, CPUE is not summable and therefore </w:t>
      </w:r>
      <w:r w:rsidR="00691E33">
        <w:t xml:space="preserve">is estimated at FMP subarea </w:t>
      </w:r>
      <w:r w:rsidR="00922954">
        <w:t xml:space="preserve">(e.g., Western GOA) </w:t>
      </w:r>
      <w:r w:rsidR="00691E33">
        <w:t>and FMP level</w:t>
      </w:r>
      <w:r w:rsidR="00922954">
        <w:t>s</w:t>
      </w:r>
      <w:r w:rsidR="00691E33">
        <w:t xml:space="preserve">. </w:t>
      </w:r>
      <w:r w:rsidR="002D754A">
        <w:t xml:space="preserve">Ultimately, these indices provide an alternative or supplement </w:t>
      </w:r>
      <w:r w:rsidR="00512863">
        <w:t xml:space="preserve">to </w:t>
      </w:r>
      <w:r w:rsidR="002D754A">
        <w:t xml:space="preserve">existing sources of abundance information (e.g. </w:t>
      </w:r>
      <w:r w:rsidR="00922954">
        <w:t>Alaska Fisheries Science Center (</w:t>
      </w:r>
      <w:r w:rsidR="002D754A">
        <w:t>AFSC</w:t>
      </w:r>
      <w:r w:rsidR="00922954">
        <w:t>)</w:t>
      </w:r>
      <w:r w:rsidR="002D754A">
        <w:t xml:space="preserve"> bottom trawl survey biomass or </w:t>
      </w:r>
      <w:r w:rsidR="00922954">
        <w:t xml:space="preserve">AFSC </w:t>
      </w:r>
      <w:r w:rsidR="002D754A">
        <w:t xml:space="preserve">longline survey RPNs) and </w:t>
      </w:r>
      <w:r w:rsidR="00922954">
        <w:t xml:space="preserve">may </w:t>
      </w:r>
      <w:r w:rsidR="002D754A">
        <w:t>be used to inform stock assessments.</w:t>
      </w:r>
    </w:p>
    <w:p w14:paraId="72CCEAC7" w14:textId="77777777" w:rsidR="00F21ADA" w:rsidRDefault="00F21ADA" w:rsidP="002E67FC"/>
    <w:p w14:paraId="30BA5FAC" w14:textId="0DA3DE8E" w:rsidR="00E65349" w:rsidRDefault="00F21ADA" w:rsidP="00127526">
      <w:r>
        <w:t xml:space="preserve">IPHC FISS data are accessed from the IPHC website and stored in the Alaska Fisheries Information Network (AKFIN) database. They are queried and analyzed by AFSC staff, and final results are returned to AKFIN and stored in separate database tables. The IPHC FISS abundance indices are accessible by </w:t>
      </w:r>
      <w:r w:rsidR="00127526">
        <w:t>stock assessment scientists</w:t>
      </w:r>
      <w:r>
        <w:t xml:space="preserve"> </w:t>
      </w:r>
      <w:r w:rsidR="00127526">
        <w:t xml:space="preserve">through AKFIN and are available at a one year lag to the IPHC FISS (e.g., </w:t>
      </w:r>
      <w:r w:rsidR="00922954">
        <w:t>indices from the 2021 survey</w:t>
      </w:r>
      <w:r w:rsidR="00127526">
        <w:t xml:space="preserve"> are available </w:t>
      </w:r>
      <w:r w:rsidR="00922954">
        <w:t xml:space="preserve">in </w:t>
      </w:r>
      <w:r w:rsidR="00127526">
        <w:t xml:space="preserve">2022). </w:t>
      </w:r>
    </w:p>
    <w:p w14:paraId="4196D1E2" w14:textId="48FD2465" w:rsidR="004D7BE9" w:rsidRDefault="004D7BE9" w:rsidP="002E67FC">
      <w:pPr>
        <w:rPr>
          <w:rStyle w:val="EquationsChar"/>
          <w:rFonts w:ascii="Arial" w:hAnsi="Arial"/>
          <w:i w:val="0"/>
        </w:rPr>
      </w:pPr>
    </w:p>
    <w:p w14:paraId="1D2DA3D1" w14:textId="5D4020CE" w:rsidR="00851428" w:rsidRPr="00337DFB" w:rsidRDefault="00851428" w:rsidP="00337DFB">
      <w:pPr>
        <w:pStyle w:val="Heading1"/>
        <w:rPr>
          <w:rStyle w:val="EquationsChar"/>
          <w:rFonts w:asciiTheme="majorHAnsi" w:eastAsiaTheme="majorEastAsia" w:hAnsiTheme="majorHAnsi" w:cstheme="majorBidi"/>
          <w:i w:val="0"/>
          <w:color w:val="2E74B5" w:themeColor="accent1" w:themeShade="BF"/>
        </w:rPr>
      </w:pPr>
      <w:r w:rsidRPr="00337DFB">
        <w:rPr>
          <w:rStyle w:val="EquationsChar"/>
          <w:rFonts w:asciiTheme="majorHAnsi" w:eastAsiaTheme="majorEastAsia" w:hAnsiTheme="majorHAnsi" w:cstheme="majorBidi"/>
          <w:i w:val="0"/>
          <w:color w:val="2E74B5" w:themeColor="accent1" w:themeShade="BF"/>
        </w:rPr>
        <w:t>Raw data access</w:t>
      </w:r>
      <w:r w:rsidR="00484E7B" w:rsidRPr="00337DFB">
        <w:rPr>
          <w:rStyle w:val="EquationsChar"/>
          <w:rFonts w:asciiTheme="majorHAnsi" w:eastAsiaTheme="majorEastAsia" w:hAnsiTheme="majorHAnsi" w:cstheme="majorBidi"/>
          <w:i w:val="0"/>
          <w:color w:val="2E74B5" w:themeColor="accent1" w:themeShade="BF"/>
        </w:rPr>
        <w:t>, data processing,</w:t>
      </w:r>
      <w:r w:rsidRPr="00337DFB">
        <w:rPr>
          <w:rStyle w:val="EquationsChar"/>
          <w:rFonts w:asciiTheme="majorHAnsi" w:eastAsiaTheme="majorEastAsia" w:hAnsiTheme="majorHAnsi" w:cstheme="majorBidi"/>
          <w:i w:val="0"/>
          <w:color w:val="2E74B5" w:themeColor="accent1" w:themeShade="BF"/>
        </w:rPr>
        <w:t xml:space="preserve"> and database structure</w:t>
      </w:r>
    </w:p>
    <w:p w14:paraId="16BFAAE2" w14:textId="39AE4F40" w:rsidR="004D7BE9" w:rsidRDefault="004D7BE9" w:rsidP="002E67FC">
      <w:pPr>
        <w:rPr>
          <w:rStyle w:val="EquationsChar"/>
          <w:rFonts w:ascii="Arial" w:hAnsi="Arial"/>
          <w:i w:val="0"/>
        </w:rPr>
      </w:pPr>
    </w:p>
    <w:p w14:paraId="6F231E9E" w14:textId="4BFB8440" w:rsidR="00DC7E7D" w:rsidRDefault="00DC7E7D" w:rsidP="002E67FC">
      <w:pPr>
        <w:rPr>
          <w:rStyle w:val="EquationsChar"/>
          <w:rFonts w:ascii="Arial" w:hAnsi="Arial"/>
          <w:i w:val="0"/>
        </w:rPr>
      </w:pPr>
      <w:r>
        <w:rPr>
          <w:rStyle w:val="EquationsChar"/>
          <w:rFonts w:ascii="Arial" w:hAnsi="Arial"/>
          <w:i w:val="0"/>
        </w:rPr>
        <w:t xml:space="preserve">IPHC FISS data are </w:t>
      </w:r>
      <w:r w:rsidR="00057106">
        <w:rPr>
          <w:rStyle w:val="EquationsChar"/>
          <w:rFonts w:ascii="Arial" w:hAnsi="Arial"/>
          <w:i w:val="0"/>
        </w:rPr>
        <w:t>publicly available on the IPHC website (</w:t>
      </w:r>
      <w:hyperlink r:id="rId9" w:history="1">
        <w:r w:rsidR="00057106" w:rsidRPr="00851428">
          <w:rPr>
            <w:rStyle w:val="Hyperlink"/>
          </w:rPr>
          <w:t>https://iphc.int/data/datatest/fishery-independent-setline-survey-fiss</w:t>
        </w:r>
      </w:hyperlink>
      <w:r w:rsidR="00057106">
        <w:t>) and access</w:t>
      </w:r>
      <w:r w:rsidR="00922954">
        <w:t>ed</w:t>
      </w:r>
      <w:r w:rsidR="00057106">
        <w:t xml:space="preserve"> </w:t>
      </w:r>
      <w:r w:rsidR="00057106">
        <w:rPr>
          <w:rStyle w:val="EquationsChar"/>
          <w:rFonts w:ascii="Arial" w:hAnsi="Arial"/>
          <w:i w:val="0"/>
        </w:rPr>
        <w:t xml:space="preserve">using a Tableau data dashboard, which allows users to manually generate customized queries. In order to standardize annual data access for the IPHC RPN project, </w:t>
      </w:r>
      <w:r>
        <w:rPr>
          <w:rStyle w:val="EquationsChar"/>
          <w:rFonts w:ascii="Arial" w:hAnsi="Arial"/>
          <w:i w:val="0"/>
        </w:rPr>
        <w:t xml:space="preserve">AKFIN analysts extract data from the IPHC website and load it directly to the AKFIN database (personal communication Niels Leuthold, </w:t>
      </w:r>
      <w:r w:rsidR="00C672F4">
        <w:rPr>
          <w:rStyle w:val="EquationsChar"/>
          <w:rFonts w:ascii="Arial" w:hAnsi="Arial"/>
          <w:i w:val="0"/>
        </w:rPr>
        <w:t>AKFIN, 2021</w:t>
      </w:r>
      <w:r>
        <w:rPr>
          <w:rStyle w:val="EquationsChar"/>
          <w:rFonts w:ascii="Arial" w:hAnsi="Arial"/>
          <w:i w:val="0"/>
        </w:rPr>
        <w:t xml:space="preserve">). This method of data access reduces the likelihood of human error </w:t>
      </w:r>
      <w:r w:rsidR="00057106">
        <w:rPr>
          <w:rStyle w:val="EquationsChar"/>
          <w:rFonts w:ascii="Arial" w:hAnsi="Arial"/>
          <w:i w:val="0"/>
        </w:rPr>
        <w:t xml:space="preserve">when using the Tableau data dashboard </w:t>
      </w:r>
      <w:r>
        <w:rPr>
          <w:rStyle w:val="EquationsChar"/>
          <w:rFonts w:ascii="Arial" w:hAnsi="Arial"/>
          <w:i w:val="0"/>
        </w:rPr>
        <w:t>and makes these data readily available to all AKFIN users.</w:t>
      </w:r>
    </w:p>
    <w:p w14:paraId="028B5198" w14:textId="3B8E918A" w:rsidR="00DC7E7D" w:rsidRDefault="00DC7E7D" w:rsidP="002E67FC">
      <w:pPr>
        <w:rPr>
          <w:rStyle w:val="EquationsChar"/>
          <w:rFonts w:ascii="Arial" w:hAnsi="Arial"/>
          <w:i w:val="0"/>
        </w:rPr>
      </w:pPr>
    </w:p>
    <w:p w14:paraId="05F176D9" w14:textId="1330EE67" w:rsidR="00DC7E7D" w:rsidRPr="0019601E" w:rsidRDefault="00053745" w:rsidP="002E67FC">
      <w:pPr>
        <w:rPr>
          <w:rStyle w:val="EquationsChar"/>
          <w:rFonts w:ascii="Arial" w:hAnsi="Arial"/>
          <w:i w:val="0"/>
        </w:rPr>
      </w:pPr>
      <w:r w:rsidRPr="0019601E">
        <w:rPr>
          <w:rStyle w:val="EquationsChar"/>
          <w:rFonts w:ascii="Arial" w:hAnsi="Arial"/>
          <w:i w:val="0"/>
        </w:rPr>
        <w:t>Raw</w:t>
      </w:r>
      <w:r w:rsidR="00851428" w:rsidRPr="0019601E">
        <w:rPr>
          <w:rStyle w:val="EquationsChar"/>
          <w:rFonts w:ascii="Arial" w:hAnsi="Arial"/>
          <w:i w:val="0"/>
        </w:rPr>
        <w:t xml:space="preserve"> IPHC FISS and associated metadata</w:t>
      </w:r>
      <w:r w:rsidR="00DC7E7D" w:rsidRPr="0019601E">
        <w:rPr>
          <w:rStyle w:val="EquationsChar"/>
          <w:rFonts w:ascii="Arial" w:hAnsi="Arial"/>
          <w:i w:val="0"/>
        </w:rPr>
        <w:t xml:space="preserve"> </w:t>
      </w:r>
      <w:r w:rsidR="00851428" w:rsidRPr="0019601E">
        <w:rPr>
          <w:rStyle w:val="EquationsChar"/>
          <w:rFonts w:ascii="Arial" w:hAnsi="Arial"/>
          <w:i w:val="0"/>
        </w:rPr>
        <w:t xml:space="preserve">tables </w:t>
      </w:r>
      <w:r w:rsidR="00DC7E7D" w:rsidRPr="0019601E">
        <w:rPr>
          <w:rStyle w:val="EquationsChar"/>
          <w:rFonts w:ascii="Arial" w:hAnsi="Arial"/>
          <w:i w:val="0"/>
        </w:rPr>
        <w:t xml:space="preserve">are stored in the IPHC schema of the </w:t>
      </w:r>
      <w:r w:rsidR="00851428" w:rsidRPr="0019601E">
        <w:rPr>
          <w:rStyle w:val="EquationsChar"/>
          <w:rFonts w:ascii="Arial" w:hAnsi="Arial"/>
          <w:i w:val="0"/>
        </w:rPr>
        <w:t>AKFIN database</w:t>
      </w:r>
      <w:r w:rsidR="00C23FA3" w:rsidRPr="0019601E">
        <w:rPr>
          <w:rStyle w:val="EquationsChar"/>
          <w:rFonts w:ascii="Arial" w:hAnsi="Arial"/>
          <w:i w:val="0"/>
        </w:rPr>
        <w:t>. These tables include:</w:t>
      </w:r>
    </w:p>
    <w:p w14:paraId="70E45021" w14:textId="4962FB49" w:rsidR="00C23FA3" w:rsidRDefault="00C23FA3" w:rsidP="002E67FC">
      <w:pPr>
        <w:rPr>
          <w:rStyle w:val="EquationsChar"/>
          <w:rFonts w:ascii="Arial" w:hAnsi="Arial"/>
          <w:i w:val="0"/>
        </w:rPr>
      </w:pPr>
      <w:r>
        <w:rPr>
          <w:rStyle w:val="EquationsChar"/>
          <w:rFonts w:ascii="Arial" w:hAnsi="Arial"/>
          <w:i w:val="0"/>
        </w:rPr>
        <w:t>FISS_METADATA: Column names and descriptions for the FISS_SET_P_HALB table</w:t>
      </w:r>
    </w:p>
    <w:p w14:paraId="43E6AB07" w14:textId="2E434BD7" w:rsidR="004D7BE9" w:rsidRDefault="00C23FA3" w:rsidP="002E67FC">
      <w:pPr>
        <w:rPr>
          <w:rStyle w:val="EquationsChar"/>
          <w:rFonts w:ascii="Arial" w:hAnsi="Arial"/>
          <w:i w:val="0"/>
        </w:rPr>
      </w:pPr>
      <w:r>
        <w:rPr>
          <w:rStyle w:val="EquationsChar"/>
          <w:rFonts w:ascii="Arial" w:hAnsi="Arial"/>
          <w:i w:val="0"/>
        </w:rPr>
        <w:t>FISS_METADATA_AKFIN_NAMES: Translation table and metadata for the FISS_METADATA table</w:t>
      </w:r>
    </w:p>
    <w:p w14:paraId="66C131FF" w14:textId="3DA92035" w:rsidR="00C23FA3" w:rsidRDefault="00C23FA3" w:rsidP="002E67FC">
      <w:pPr>
        <w:rPr>
          <w:rStyle w:val="EquationsChar"/>
          <w:rFonts w:ascii="Arial" w:hAnsi="Arial"/>
          <w:i w:val="0"/>
        </w:rPr>
      </w:pPr>
      <w:r>
        <w:rPr>
          <w:rStyle w:val="EquationsChar"/>
          <w:rFonts w:ascii="Arial" w:hAnsi="Arial"/>
          <w:i w:val="0"/>
        </w:rPr>
        <w:t>FISS_SET_P_HALB: Detailed longline set information, with associated catch records for legal and sublegal Pacific halibut. This table can be joined with the non-halibut catch table (FISS_NON_P_HALB) using the SET_KEY column (STLKEY on the IPHC website).</w:t>
      </w:r>
    </w:p>
    <w:p w14:paraId="5B722FE7" w14:textId="44DB4B0A" w:rsidR="00C23FA3" w:rsidRDefault="00C23FA3" w:rsidP="002E67FC">
      <w:pPr>
        <w:rPr>
          <w:rStyle w:val="EquationsChar"/>
          <w:rFonts w:ascii="Arial" w:hAnsi="Arial"/>
          <w:i w:val="0"/>
        </w:rPr>
      </w:pPr>
      <w:r>
        <w:rPr>
          <w:rStyle w:val="EquationsChar"/>
          <w:rFonts w:ascii="Arial" w:hAnsi="Arial"/>
          <w:i w:val="0"/>
        </w:rPr>
        <w:t xml:space="preserve">FISS_NON_P_HALB: Set-level catch records for all hook and species observations except Pacific halibut. </w:t>
      </w:r>
      <w:r w:rsidR="00057106">
        <w:rPr>
          <w:rStyle w:val="EquationsChar"/>
          <w:rFonts w:ascii="Arial" w:hAnsi="Arial"/>
          <w:i w:val="0"/>
        </w:rPr>
        <w:t>This table can be joined with the Pacific halibut catch table (FISS_SET_P_HALB) using the SET_KEY column (STLKEY on the IPHC website).</w:t>
      </w:r>
    </w:p>
    <w:p w14:paraId="2BDA8CB6" w14:textId="3E0A53BB" w:rsidR="00057106" w:rsidRDefault="00057106" w:rsidP="002E67FC">
      <w:pPr>
        <w:rPr>
          <w:rStyle w:val="EquationsChar"/>
          <w:rFonts w:ascii="Arial" w:hAnsi="Arial"/>
          <w:i w:val="0"/>
        </w:rPr>
      </w:pPr>
      <w:r>
        <w:rPr>
          <w:rStyle w:val="EquationsChar"/>
          <w:rFonts w:ascii="Arial" w:hAnsi="Arial"/>
          <w:i w:val="0"/>
        </w:rPr>
        <w:t>FISS_PRP_CODES:</w:t>
      </w:r>
      <w:r w:rsidR="00577D8A">
        <w:rPr>
          <w:rStyle w:val="EquationsChar"/>
          <w:rFonts w:ascii="Arial" w:hAnsi="Arial"/>
          <w:i w:val="0"/>
        </w:rPr>
        <w:t xml:space="preserve"> Look up table of project purpose codes, which is defined at the station level.</w:t>
      </w:r>
    </w:p>
    <w:p w14:paraId="2D3B0966" w14:textId="4CE44713" w:rsidR="00C672F4" w:rsidRDefault="00C672F4" w:rsidP="002E67FC">
      <w:pPr>
        <w:rPr>
          <w:rStyle w:val="EquationsChar"/>
          <w:rFonts w:ascii="Arial" w:hAnsi="Arial"/>
          <w:i w:val="0"/>
        </w:rPr>
      </w:pPr>
    </w:p>
    <w:p w14:paraId="3F460379" w14:textId="77777777" w:rsidR="00B55250" w:rsidRDefault="00C672F4" w:rsidP="002E67FC">
      <w:pPr>
        <w:rPr>
          <w:rStyle w:val="EquationsChar"/>
          <w:rFonts w:ascii="Arial" w:hAnsi="Arial"/>
          <w:i w:val="0"/>
        </w:rPr>
      </w:pPr>
      <w:r>
        <w:rPr>
          <w:rStyle w:val="EquationsChar"/>
          <w:rFonts w:ascii="Arial" w:hAnsi="Arial"/>
          <w:i w:val="0"/>
        </w:rPr>
        <w:t xml:space="preserve">These data are queried directly into R and run through a series of R scripts hosted at </w:t>
      </w:r>
      <w:hyperlink r:id="rId10" w:history="1">
        <w:r w:rsidR="00484E7B" w:rsidRPr="00F97556">
          <w:rPr>
            <w:rStyle w:val="Hyperlink"/>
          </w:rPr>
          <w:t>https://github.com/JaneSullivan-NOAA/iphc-rpn</w:t>
        </w:r>
      </w:hyperlink>
      <w:r w:rsidR="00484E7B">
        <w:rPr>
          <w:rStyle w:val="EquationsChar"/>
          <w:rFonts w:ascii="Arial" w:hAnsi="Arial"/>
          <w:i w:val="0"/>
        </w:rPr>
        <w:t xml:space="preserve">. Finalized data and results are then transferred to AKFIN using a data uploader tool, which ensures data types and structures maintain consistency over time. </w:t>
      </w:r>
    </w:p>
    <w:p w14:paraId="28797DD2" w14:textId="77777777" w:rsidR="00B55250" w:rsidRDefault="00B55250" w:rsidP="002E67FC">
      <w:pPr>
        <w:rPr>
          <w:rStyle w:val="EquationsChar"/>
          <w:rFonts w:ascii="Arial" w:hAnsi="Arial"/>
          <w:i w:val="0"/>
        </w:rPr>
      </w:pPr>
    </w:p>
    <w:p w14:paraId="6C878681" w14:textId="6159D62F" w:rsidR="00C672F4" w:rsidRDefault="00B55250" w:rsidP="002E67FC">
      <w:pPr>
        <w:rPr>
          <w:rStyle w:val="EquationsChar"/>
          <w:rFonts w:ascii="Arial" w:hAnsi="Arial"/>
          <w:i w:val="0"/>
        </w:rPr>
      </w:pPr>
      <w:r>
        <w:rPr>
          <w:rStyle w:val="EquationsChar"/>
          <w:rFonts w:ascii="Arial" w:hAnsi="Arial"/>
          <w:i w:val="0"/>
        </w:rPr>
        <w:t>The finalized set data and RPN/CPUE results</w:t>
      </w:r>
      <w:r w:rsidR="00484E7B">
        <w:rPr>
          <w:rStyle w:val="EquationsChar"/>
          <w:rFonts w:ascii="Arial" w:hAnsi="Arial"/>
          <w:i w:val="0"/>
        </w:rPr>
        <w:t xml:space="preserve"> are stored in the AFSC</w:t>
      </w:r>
      <w:r w:rsidR="00484E7B" w:rsidRPr="00484E7B">
        <w:rPr>
          <w:rStyle w:val="EquationsChar"/>
          <w:rFonts w:ascii="Arial" w:hAnsi="Arial"/>
          <w:i w:val="0"/>
          <w:color w:val="auto"/>
          <w:u w:val="single"/>
        </w:rPr>
        <w:t>_</w:t>
      </w:r>
      <w:r w:rsidR="00484E7B">
        <w:rPr>
          <w:rStyle w:val="EquationsChar"/>
          <w:rFonts w:ascii="Arial" w:hAnsi="Arial"/>
          <w:i w:val="0"/>
        </w:rPr>
        <w:t>HOST schema in the AKFIN database in the following tables:</w:t>
      </w:r>
    </w:p>
    <w:p w14:paraId="78A0FC25" w14:textId="61B1BF05" w:rsidR="00484E7B" w:rsidRDefault="00484E7B" w:rsidP="002E67FC">
      <w:pPr>
        <w:rPr>
          <w:rStyle w:val="EquationsChar"/>
          <w:rFonts w:ascii="Arial" w:hAnsi="Arial"/>
          <w:i w:val="0"/>
        </w:rPr>
      </w:pPr>
      <w:r>
        <w:rPr>
          <w:rStyle w:val="EquationsChar"/>
          <w:rFonts w:ascii="Arial" w:hAnsi="Arial"/>
          <w:i w:val="0"/>
        </w:rPr>
        <w:t>FISS</w:t>
      </w:r>
      <w:r w:rsidR="00994154" w:rsidRPr="00994154">
        <w:rPr>
          <w:rStyle w:val="EquationsChar"/>
          <w:rFonts w:ascii="Arial" w:hAnsi="Arial"/>
          <w:i w:val="0"/>
          <w:u w:val="single"/>
        </w:rPr>
        <w:t>_</w:t>
      </w:r>
      <w:r>
        <w:rPr>
          <w:rStyle w:val="EquationsChar"/>
          <w:rFonts w:ascii="Arial" w:hAnsi="Arial"/>
          <w:i w:val="0"/>
        </w:rPr>
        <w:t>CLEANED</w:t>
      </w:r>
      <w:r w:rsidR="00994154">
        <w:rPr>
          <w:rStyle w:val="EquationsChar"/>
          <w:rFonts w:ascii="Arial" w:hAnsi="Arial"/>
          <w:i w:val="0"/>
        </w:rPr>
        <w:t>: Finalized set data used as inputs to the CPUE/RPN analysis. This data set is the product of a join between the FISS_SET_P_HALB and FISS_NON_P_HALB and includes catch records for every fish species encountered on the IPHC FISS. Any catch records removed from the raw data and omitted from the CPUE/RPN analysis are summarized in the FISS_STATIONS_REMOVED table.</w:t>
      </w:r>
    </w:p>
    <w:p w14:paraId="7AFA208B" w14:textId="04AC4D29" w:rsidR="00B20DB3" w:rsidRDefault="00BD252F" w:rsidP="002E67FC">
      <w:pPr>
        <w:rPr>
          <w:rStyle w:val="EquationsChar"/>
          <w:rFonts w:ascii="Arial" w:hAnsi="Arial"/>
          <w:i w:val="0"/>
        </w:rPr>
      </w:pPr>
      <w:r>
        <w:rPr>
          <w:rStyle w:val="EquationsChar"/>
          <w:rFonts w:ascii="Arial" w:hAnsi="Arial"/>
          <w:i w:val="0"/>
        </w:rPr>
        <w:t xml:space="preserve">FISS_CPUE and FISS_RPN: Finalized results for the CPUE/RPN analysis by species, year, and strata, including the number of sets, sets with positive catch records, and results from the bootstrap analysis. </w:t>
      </w:r>
      <w:r w:rsidR="00691E33">
        <w:rPr>
          <w:rStyle w:val="EquationsChar"/>
          <w:rFonts w:ascii="Arial" w:hAnsi="Arial"/>
          <w:i w:val="0"/>
        </w:rPr>
        <w:t>The FISS_CPUE have an AREA_COMBO fi</w:t>
      </w:r>
      <w:r w:rsidR="008A199A">
        <w:rPr>
          <w:rStyle w:val="EquationsChar"/>
          <w:rFonts w:ascii="Arial" w:hAnsi="Arial"/>
          <w:i w:val="0"/>
        </w:rPr>
        <w:t>el</w:t>
      </w:r>
      <w:r w:rsidR="00691E33">
        <w:rPr>
          <w:rStyle w:val="EquationsChar"/>
          <w:rFonts w:ascii="Arial" w:hAnsi="Arial"/>
          <w:i w:val="0"/>
        </w:rPr>
        <w:t xml:space="preserve">d that </w:t>
      </w:r>
      <w:r w:rsidR="008A199A">
        <w:rPr>
          <w:rStyle w:val="EquationsChar"/>
          <w:rFonts w:ascii="Arial" w:hAnsi="Arial"/>
          <w:i w:val="0"/>
        </w:rPr>
        <w:t xml:space="preserve">describes </w:t>
      </w:r>
      <w:r w:rsidR="00691E33">
        <w:rPr>
          <w:rStyle w:val="EquationsChar"/>
          <w:rFonts w:ascii="Arial" w:hAnsi="Arial"/>
          <w:i w:val="0"/>
        </w:rPr>
        <w:t xml:space="preserve">the underlying area definitions. The FISS_RPN </w:t>
      </w:r>
      <w:r w:rsidR="00E4458D">
        <w:rPr>
          <w:rStyle w:val="EquationsChar"/>
          <w:rFonts w:ascii="Arial" w:hAnsi="Arial"/>
          <w:i w:val="0"/>
        </w:rPr>
        <w:t>are always</w:t>
      </w:r>
      <w:r w:rsidR="00691E33">
        <w:rPr>
          <w:rStyle w:val="EquationsChar"/>
          <w:rFonts w:ascii="Arial" w:hAnsi="Arial"/>
          <w:i w:val="0"/>
        </w:rPr>
        <w:t xml:space="preserve"> </w:t>
      </w:r>
      <w:r w:rsidR="00E4458D">
        <w:rPr>
          <w:rStyle w:val="EquationsChar"/>
          <w:rFonts w:ascii="Arial" w:hAnsi="Arial"/>
          <w:i w:val="0"/>
        </w:rPr>
        <w:t>defined in the same way</w:t>
      </w:r>
      <w:r w:rsidR="00691E33">
        <w:rPr>
          <w:rStyle w:val="EquationsChar"/>
          <w:rFonts w:ascii="Arial" w:hAnsi="Arial"/>
          <w:i w:val="0"/>
        </w:rPr>
        <w:t xml:space="preserve"> the same way </w:t>
      </w:r>
      <w:r w:rsidR="00E4458D">
        <w:rPr>
          <w:rStyle w:val="EquationsChar"/>
          <w:rFonts w:ascii="Arial" w:hAnsi="Arial"/>
          <w:i w:val="0"/>
        </w:rPr>
        <w:t xml:space="preserve">using the AFSC bottom trawl survey </w:t>
      </w:r>
      <w:r w:rsidR="00691E33">
        <w:rPr>
          <w:rStyle w:val="EquationsChar"/>
          <w:rFonts w:ascii="Arial" w:hAnsi="Arial"/>
          <w:i w:val="0"/>
        </w:rPr>
        <w:t xml:space="preserve">depth strata </w:t>
      </w:r>
      <w:r w:rsidR="00E4458D">
        <w:rPr>
          <w:rStyle w:val="EquationsChar"/>
          <w:rFonts w:ascii="Arial" w:hAnsi="Arial"/>
          <w:i w:val="0"/>
        </w:rPr>
        <w:t xml:space="preserve">and </w:t>
      </w:r>
      <w:r w:rsidR="00691E33">
        <w:rPr>
          <w:rStyle w:val="EquationsChar"/>
          <w:rFonts w:ascii="Arial" w:hAnsi="Arial"/>
          <w:i w:val="0"/>
        </w:rPr>
        <w:t>FMP subareas.</w:t>
      </w:r>
    </w:p>
    <w:p w14:paraId="0040CC90" w14:textId="4C291C99" w:rsidR="00007E86" w:rsidRDefault="00B20DB3" w:rsidP="002E67FC">
      <w:pPr>
        <w:rPr>
          <w:rStyle w:val="EquationsChar"/>
          <w:rFonts w:ascii="Arial" w:hAnsi="Arial"/>
          <w:i w:val="0"/>
        </w:rPr>
      </w:pPr>
      <w:r>
        <w:rPr>
          <w:rStyle w:val="EquationsChar"/>
          <w:rFonts w:ascii="Arial" w:hAnsi="Arial"/>
          <w:i w:val="0"/>
        </w:rPr>
        <w:t xml:space="preserve">FISS_STATIONS_REMOVED: A record of full or partial set removed from the raw set/catch record data with the associated rationale. </w:t>
      </w:r>
    </w:p>
    <w:p w14:paraId="2242FB6E" w14:textId="2A53E797" w:rsidR="00575422" w:rsidRDefault="00575422" w:rsidP="004B0207">
      <w:pPr>
        <w:pStyle w:val="Heading1"/>
      </w:pPr>
      <w:r>
        <w:t>Data caveats</w:t>
      </w:r>
    </w:p>
    <w:p w14:paraId="6FE86564" w14:textId="77777777" w:rsidR="00575422" w:rsidRDefault="00575422" w:rsidP="00575422"/>
    <w:p w14:paraId="7EB46ADF" w14:textId="4047651E" w:rsidR="00575422" w:rsidRDefault="00E4458D" w:rsidP="00575422">
      <w:r>
        <w:t xml:space="preserve">The IPHC survey design was relatively consistent by depth and area in the GOA and BSAI from 1998 – 2019, with the exception of additional stations in the AI in 2017 (Bower’s Bank and Ridge area). </w:t>
      </w:r>
      <w:r w:rsidR="008A199A">
        <w:t>Since then, the IPHC has made numerous changes to the sampling design. Data users</w:t>
      </w:r>
      <w:r w:rsidR="00575422">
        <w:t xml:space="preserve"> should be</w:t>
      </w:r>
      <w:r w:rsidR="008A199A">
        <w:t xml:space="preserve"> a</w:t>
      </w:r>
      <w:r w:rsidR="00575422">
        <w:t xml:space="preserve">ware of ongoing changes to the IPHC survey design </w:t>
      </w:r>
      <w:r w:rsidR="008A199A">
        <w:t>consider</w:t>
      </w:r>
      <w:r w:rsidR="00575422">
        <w:t xml:space="preserve"> the effects of these changes on the</w:t>
      </w:r>
      <w:r w:rsidR="008A199A">
        <w:t xml:space="preserve"> interpretation of the indices for their</w:t>
      </w:r>
      <w:r w:rsidR="00575422">
        <w:t xml:space="preserve"> stock. </w:t>
      </w:r>
    </w:p>
    <w:p w14:paraId="724D92F4" w14:textId="77777777" w:rsidR="00512863" w:rsidRDefault="00512863" w:rsidP="00575422"/>
    <w:p w14:paraId="6A74EAE4" w14:textId="77777777" w:rsidR="00575422" w:rsidRDefault="00575422" w:rsidP="00575422">
      <w:r>
        <w:t>Specific examples of these changes in the GOA and BSAI that data users should be aware of include the following:</w:t>
      </w:r>
    </w:p>
    <w:p w14:paraId="22640CAA" w14:textId="73A65AC8" w:rsidR="00575422" w:rsidRDefault="00575422" w:rsidP="00575422">
      <w:pPr>
        <w:pStyle w:val="ListParagraph"/>
        <w:numPr>
          <w:ilvl w:val="0"/>
          <w:numId w:val="6"/>
        </w:numPr>
        <w:spacing w:after="160" w:line="259" w:lineRule="auto"/>
      </w:pPr>
      <w:r>
        <w:t xml:space="preserve">Additional sampling </w:t>
      </w:r>
      <w:r w:rsidR="00512863">
        <w:t xml:space="preserve">occurred </w:t>
      </w:r>
      <w:r>
        <w:t>along Bower’s Bank and Ridge in the AI in 2017</w:t>
      </w:r>
    </w:p>
    <w:p w14:paraId="73469572" w14:textId="5FE2E3DC" w:rsidR="00575422" w:rsidRDefault="00575422" w:rsidP="00575422">
      <w:pPr>
        <w:pStyle w:val="ListParagraph"/>
        <w:numPr>
          <w:ilvl w:val="0"/>
          <w:numId w:val="6"/>
        </w:numPr>
        <w:spacing w:after="160" w:line="259" w:lineRule="auto"/>
      </w:pPr>
      <w:r>
        <w:t>No sampling</w:t>
      </w:r>
      <w:r w:rsidR="00512863">
        <w:t xml:space="preserve"> occurred</w:t>
      </w:r>
      <w:r>
        <w:t xml:space="preserve"> in the WGOA, AI, or EBS in 2020 due to COVID-19</w:t>
      </w:r>
    </w:p>
    <w:p w14:paraId="75E01F63" w14:textId="2C926CAE" w:rsidR="00575422" w:rsidRDefault="00575422" w:rsidP="00575422">
      <w:pPr>
        <w:pStyle w:val="ListParagraph"/>
        <w:numPr>
          <w:ilvl w:val="0"/>
          <w:numId w:val="6"/>
        </w:numPr>
        <w:spacing w:after="160" w:line="259" w:lineRule="auto"/>
      </w:pPr>
      <w:r>
        <w:t xml:space="preserve">Large reductions in sampling in the WGOA, AI, and EBS starting in 2021. These reductions are not random and are based on an optimized sampling for Pacific halibut. For example, </w:t>
      </w:r>
      <w:r w:rsidR="001F2739">
        <w:t>the map below</w:t>
      </w:r>
      <w:r>
        <w:t xml:space="preserve"> shows the 2021 IPHC-endorsed survey design (p. 11 of </w:t>
      </w:r>
      <w:hyperlink r:id="rId11" w:tgtFrame="_blank" w:history="1">
        <w:r>
          <w:rPr>
            <w:rStyle w:val="Hyperlink"/>
            <w:color w:val="1155CC"/>
            <w:shd w:val="clear" w:color="auto" w:fill="FFFFFF"/>
          </w:rPr>
          <w:t>https://www.iphc.int/uploads/pdf/am/am098/iphc-2022-am098-r.pdf</w:t>
        </w:r>
      </w:hyperlink>
      <w:r>
        <w:rPr>
          <w:color w:val="222222"/>
          <w:shd w:val="clear" w:color="auto" w:fill="FFFFFF"/>
        </w:rPr>
        <w:t>).</w:t>
      </w:r>
      <w:r w:rsidR="00974572">
        <w:rPr>
          <w:color w:val="222222"/>
          <w:shd w:val="clear" w:color="auto" w:fill="FFFFFF"/>
        </w:rPr>
        <w:t xml:space="preserve"> The 2022 IPHC-endorsed design along with proposed designs for 2023 and 2024 are found in Appendices IV and V of the same document. </w:t>
      </w:r>
    </w:p>
    <w:p w14:paraId="42C7AC84" w14:textId="3517846F" w:rsidR="001F2739" w:rsidRDefault="00575422" w:rsidP="001F2739">
      <w:pPr>
        <w:pStyle w:val="ListParagraph"/>
        <w:numPr>
          <w:ilvl w:val="0"/>
          <w:numId w:val="6"/>
        </w:numPr>
        <w:spacing w:after="160" w:line="259" w:lineRule="auto"/>
      </w:pPr>
      <w:r w:rsidRPr="00290AC3">
        <w:t>Redistribution</w:t>
      </w:r>
      <w:r>
        <w:t xml:space="preserve"> of sampling effort by depth strata in the CGOA and EGOA starting in 2021</w:t>
      </w:r>
      <w:r w:rsidR="001F2739">
        <w:t xml:space="preserve"> </w:t>
      </w:r>
      <w:r>
        <w:t xml:space="preserve">based on the optimized sampling strategy for Pacific halibut. </w:t>
      </w:r>
    </w:p>
    <w:p w14:paraId="0E98AF06" w14:textId="77777777" w:rsidR="001F2739" w:rsidRDefault="001F2739" w:rsidP="001F2739">
      <w:pPr>
        <w:spacing w:after="160" w:line="259" w:lineRule="auto"/>
        <w:ind w:left="360"/>
      </w:pPr>
      <w:r>
        <w:br/>
      </w:r>
      <w:r>
        <w:rPr>
          <w:noProof/>
        </w:rPr>
        <w:drawing>
          <wp:inline distT="0" distB="0" distL="0" distR="0" wp14:anchorId="33FA7F93" wp14:editId="2BFCF9FA">
            <wp:extent cx="58388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_sampling.png"/>
                    <pic:cNvPicPr/>
                  </pic:nvPicPr>
                  <pic:blipFill>
                    <a:blip r:embed="rId12">
                      <a:extLst>
                        <a:ext uri="{28A0092B-C50C-407E-A947-70E740481C1C}">
                          <a14:useLocalDpi xmlns:a14="http://schemas.microsoft.com/office/drawing/2010/main" val="0"/>
                        </a:ext>
                      </a:extLst>
                    </a:blip>
                    <a:stretch>
                      <a:fillRect/>
                    </a:stretch>
                  </pic:blipFill>
                  <pic:spPr>
                    <a:xfrm>
                      <a:off x="0" y="0"/>
                      <a:ext cx="5838825" cy="3790950"/>
                    </a:xfrm>
                    <a:prstGeom prst="rect">
                      <a:avLst/>
                    </a:prstGeom>
                  </pic:spPr>
                </pic:pic>
              </a:graphicData>
            </a:graphic>
          </wp:inline>
        </w:drawing>
      </w:r>
    </w:p>
    <w:p w14:paraId="25260F82" w14:textId="37F7B27A" w:rsidR="00DC7E7D" w:rsidRPr="008F6D5F" w:rsidRDefault="00575422" w:rsidP="004B0207">
      <w:pPr>
        <w:spacing w:after="160" w:line="259" w:lineRule="auto"/>
      </w:pPr>
      <w:r>
        <w:t>Data users can evaluate sample sizes using the `N_STATIONS` (number of stratum-specific sets or fishing events) and `N_POS_CATCH` (number of stratum-specific sets or fishing events with positive catch for a given species) columns in the FISS_CPUE or FISS_RPN tables located in AKFIN’s AFSC_HOST schema. For more detailed information spatial or depth data, users can use the FISS_CLEANED data in AKFIN’s AFSC_HOST schema.</w:t>
      </w:r>
    </w:p>
    <w:p w14:paraId="051BEFFB" w14:textId="6300208D" w:rsidR="00E65349" w:rsidRDefault="00E65349" w:rsidP="004B0207">
      <w:pPr>
        <w:pStyle w:val="Heading1"/>
      </w:pPr>
      <w:r>
        <w:t xml:space="preserve">Bootstrap </w:t>
      </w:r>
      <w:r w:rsidR="00276DA0">
        <w:t>methods</w:t>
      </w:r>
    </w:p>
    <w:p w14:paraId="1BD223F6" w14:textId="77777777" w:rsidR="00E65349" w:rsidRDefault="00E65349" w:rsidP="002E67FC"/>
    <w:p w14:paraId="6AA036B6" w14:textId="3FCA6EB1" w:rsidR="00CF1C0E" w:rsidRDefault="000D5E05" w:rsidP="002E67FC">
      <w:r>
        <w:t xml:space="preserve">Variance estimates for IPHC FISS abundance indices are based on a </w:t>
      </w:r>
      <w:r w:rsidR="00CF6A08">
        <w:t>bootstrap analysis</w:t>
      </w:r>
      <w:r>
        <w:t xml:space="preserve"> using an</w:t>
      </w:r>
      <w:r w:rsidR="00CF6A08">
        <w:t xml:space="preserve"> </w:t>
      </w:r>
      <w:r w:rsidR="005A3B40">
        <w:t>ordinary</w:t>
      </w:r>
      <w:r w:rsidR="00CF6A08">
        <w:t xml:space="preserve"> nonparametric </w:t>
      </w:r>
      <w:r w:rsidR="00532F5D">
        <w:t xml:space="preserve">(i.e. resampling) </w:t>
      </w:r>
      <w:r w:rsidR="00CF6A08">
        <w:t xml:space="preserve">approach </w:t>
      </w:r>
      <w:r>
        <w:t>in</w:t>
      </w:r>
      <w:r w:rsidR="00CF6A08">
        <w:t xml:space="preserve"> the R </w:t>
      </w:r>
      <w:r w:rsidR="001D3167">
        <w:t>library</w:t>
      </w:r>
      <w:r w:rsidR="00CF6A08">
        <w:t xml:space="preserve"> </w:t>
      </w:r>
      <w:r w:rsidR="00226B07">
        <w:t>‘</w:t>
      </w:r>
      <w:r w:rsidR="00CF6A08">
        <w:t>boot</w:t>
      </w:r>
      <w:r w:rsidR="00226B07">
        <w:t xml:space="preserve">’ (Canty and Ripley 2021; Davison and Hinkley 1997). </w:t>
      </w:r>
      <w:r w:rsidR="00D54C45">
        <w:t>E</w:t>
      </w:r>
      <w:r w:rsidR="00CF1C0E">
        <w:t xml:space="preserve">ach data set </w:t>
      </w:r>
      <w:r w:rsidR="000E5366">
        <w:t>was</w:t>
      </w:r>
      <w:r w:rsidR="00CF1C0E">
        <w:t xml:space="preserve"> defined as the number </w:t>
      </w:r>
      <w:r w:rsidR="00F45035">
        <w:t>(</w:t>
      </w:r>
      <m:oMath>
        <m:r>
          <w:rPr>
            <w:rFonts w:ascii="Cambria Math" w:hAnsi="Cambria Math"/>
          </w:rPr>
          <m:t>n</m:t>
        </m:r>
      </m:oMath>
      <w:r w:rsidR="00F45035">
        <w:t xml:space="preserve">) </w:t>
      </w:r>
      <w:r w:rsidR="00CF1C0E">
        <w:t>of CPUE observations</w:t>
      </w:r>
      <w:r w:rsidR="00C672F4">
        <w:t xml:space="preserve"> (number of individuals caught per hook;</w:t>
      </w:r>
      <w:r w:rsidR="00CF1C0E">
        <w:t xml:space="preserve"> </w:t>
      </w:r>
      <m:oMath>
        <m:acc>
          <m:accPr>
            <m:ctrlPr>
              <w:rPr>
                <w:rFonts w:ascii="Cambria Math" w:hAnsi="Cambria Math"/>
              </w:rPr>
            </m:ctrlPr>
          </m:accPr>
          <m:e>
            <m:r>
              <m:rPr>
                <m:sty m:val="p"/>
              </m:rPr>
              <w:rPr>
                <w:rFonts w:ascii="Cambria Math" w:hAnsi="Cambria Math"/>
              </w:rPr>
              <m:t>θ</m:t>
            </m:r>
          </m:e>
        </m:acc>
      </m:oMath>
      <w:r w:rsidR="00F45035">
        <w:t xml:space="preserve">) </w:t>
      </w:r>
      <w:r w:rsidR="00CF1C0E">
        <w:t>within a</w:t>
      </w:r>
      <w:r w:rsidR="00D54C45">
        <w:t xml:space="preserve"> geographic </w:t>
      </w:r>
      <w:r w:rsidR="00CF1C0E">
        <w:t>area</w:t>
      </w:r>
      <w:r w:rsidR="00F45035">
        <w:t xml:space="preserve"> (</w:t>
      </w:r>
      <m:oMath>
        <m:r>
          <w:rPr>
            <w:rFonts w:ascii="Cambria Math" w:hAnsi="Cambria Math"/>
          </w:rPr>
          <m:t>k</m:t>
        </m:r>
      </m:oMath>
      <w:r w:rsidR="00F45035">
        <w:t>)</w:t>
      </w:r>
      <w:r w:rsidR="00CF1C0E">
        <w:t xml:space="preserve">, </w:t>
      </w:r>
      <w:r w:rsidR="00F45035">
        <w:t xml:space="preserve">such that there </w:t>
      </w:r>
      <w:r w:rsidR="000E5366">
        <w:t>was</w:t>
      </w:r>
      <w:r w:rsidR="00CF1C0E">
        <w:t xml:space="preserve"> one observation for each station</w:t>
      </w:r>
      <w:r w:rsidR="00F45035">
        <w:t xml:space="preserve"> (</w:t>
      </w:r>
      <m:oMath>
        <m:r>
          <w:rPr>
            <w:rFonts w:ascii="Cambria Math" w:hAnsi="Cambria Math"/>
          </w:rPr>
          <m:t>i</m:t>
        </m:r>
      </m:oMath>
      <w:r w:rsidR="00F45035">
        <w:t xml:space="preserve">) </w:t>
      </w:r>
      <w:r w:rsidR="00CF1C0E">
        <w:t xml:space="preserve">and depth stratum </w:t>
      </w:r>
      <w:r w:rsidR="00F45035">
        <w:t>(</w:t>
      </w:r>
      <m:oMath>
        <m:r>
          <w:rPr>
            <w:rFonts w:ascii="Cambria Math" w:hAnsi="Cambria Math"/>
          </w:rPr>
          <m:t>j</m:t>
        </m:r>
      </m:oMath>
      <w:r w:rsidR="00F45035">
        <w:t xml:space="preserve">) </w:t>
      </w:r>
      <w:r w:rsidR="00D54C45">
        <w:t>combination</w:t>
      </w:r>
      <w:r w:rsidR="00F45035">
        <w:t xml:space="preserve"> within the area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n</m:t>
                </m:r>
              </m:sub>
            </m:sSub>
          </m:e>
        </m:d>
      </m:oMath>
      <w:r w:rsidR="00CF1C0E">
        <w:t>.</w:t>
      </w:r>
      <w:r w:rsidR="00D54C45">
        <w:t xml:space="preserve"> </w:t>
      </w:r>
      <w:r w:rsidR="000E5366">
        <w:t xml:space="preserve">A total of </w:t>
      </w:r>
      <w:r w:rsidR="00C672F4">
        <w:t>1,</w:t>
      </w:r>
      <w:r w:rsidR="000E5366">
        <w:t>500 bootstrap replicates (</w:t>
      </w:r>
      <m:oMath>
        <m:r>
          <w:rPr>
            <w:rFonts w:ascii="Cambria Math" w:hAnsi="Cambria Math"/>
          </w:rPr>
          <m:t>B</m:t>
        </m:r>
      </m:oMath>
      <w:r w:rsidR="000E5366">
        <w:t xml:space="preserve">) were run for each species and geographic area. </w:t>
      </w:r>
      <w:r w:rsidR="00D54C45">
        <w:t>Each bootstrap replicate</w:t>
      </w:r>
      <w:r w:rsidR="00A63A55">
        <w:t xml:space="preserve"> </w:t>
      </w:r>
      <w:r w:rsidR="000E5366">
        <w:t>was</w:t>
      </w:r>
      <w:r w:rsidR="00D54C45">
        <w:t xml:space="preserve"> comprised of a set of </w:t>
      </w:r>
      <m:oMath>
        <m:r>
          <w:rPr>
            <w:rFonts w:ascii="Cambria Math" w:hAnsi="Cambria Math"/>
          </w:rPr>
          <m:t>n</m:t>
        </m:r>
      </m:oMath>
      <w:r w:rsidR="00D54C45">
        <w:t xml:space="preserve"> bootstrap samples </w:t>
      </w:r>
      <m:oMath>
        <m:sSubSup>
          <m:sSubSupPr>
            <m:ctrlPr>
              <w:rPr>
                <w:rFonts w:ascii="Cambria Math" w:hAnsi="Cambria Math"/>
                <w:i/>
              </w:rPr>
            </m:ctrlPr>
          </m:sSubSupPr>
          <m:e>
            <m:r>
              <w:rPr>
                <w:rFonts w:ascii="Cambria Math" w:hAnsi="Cambria Math"/>
              </w:rPr>
              <m:t>[</m:t>
            </m:r>
            <m:acc>
              <m:accPr>
                <m:ctrlPr>
                  <w:rPr>
                    <w:rFonts w:ascii="Cambria Math" w:hAnsi="Cambria Math"/>
                  </w:rPr>
                </m:ctrlPr>
              </m:accPr>
              <m:e>
                <m:r>
                  <m:rPr>
                    <m:sty m:val="p"/>
                  </m:rPr>
                  <w:rPr>
                    <w:rFonts w:ascii="Cambria Math" w:hAnsi="Cambria Math"/>
                  </w:rPr>
                  <m:t>θ</m:t>
                </m:r>
              </m:e>
            </m:acc>
          </m:e>
          <m:sub>
            <m:r>
              <w:rPr>
                <w:rFonts w:ascii="Cambria Math" w:hAnsi="Cambria Math"/>
              </w:rPr>
              <m:t>1</m:t>
            </m:r>
          </m:sub>
          <m:sup>
            <m:r>
              <w:rPr>
                <w:rFonts w:ascii="Cambria Math" w:hAnsi="Cambria Math"/>
              </w:rPr>
              <m:t>*</m:t>
            </m:r>
          </m:sup>
        </m:sSubSup>
        <m:r>
          <w:rPr>
            <w:rFonts w:ascii="Cambria Math" w:hAnsi="Cambria Math"/>
          </w:rPr>
          <m:t>, …</m:t>
        </m:r>
        <m:sSubSup>
          <m:sSubSupPr>
            <m:ctrlPr>
              <w:rPr>
                <w:rFonts w:ascii="Cambria Math" w:hAnsi="Cambria Math"/>
                <w:i/>
              </w:rPr>
            </m:ctrlPr>
          </m:sSubSupPr>
          <m:e>
            <m:acc>
              <m:accPr>
                <m:ctrlPr>
                  <w:rPr>
                    <w:rFonts w:ascii="Cambria Math" w:hAnsi="Cambria Math"/>
                  </w:rPr>
                </m:ctrlPr>
              </m:accPr>
              <m:e>
                <m:r>
                  <m:rPr>
                    <m:sty m:val="p"/>
                  </m:rPr>
                  <w:rPr>
                    <w:rFonts w:ascii="Cambria Math" w:hAnsi="Cambria Math"/>
                  </w:rPr>
                  <m:t>θ</m:t>
                </m:r>
              </m:e>
            </m:acc>
          </m:e>
          <m:sub>
            <m:r>
              <w:rPr>
                <w:rFonts w:ascii="Cambria Math" w:hAnsi="Cambria Math"/>
              </w:rPr>
              <m:t>n</m:t>
            </m:r>
          </m:sub>
          <m:sup>
            <m:r>
              <w:rPr>
                <w:rFonts w:ascii="Cambria Math" w:hAnsi="Cambria Math"/>
              </w:rPr>
              <m:t>*</m:t>
            </m:r>
          </m:sup>
        </m:sSubSup>
        <m:r>
          <w:rPr>
            <w:rFonts w:ascii="Cambria Math" w:hAnsi="Cambria Math"/>
          </w:rPr>
          <m:t>]</m:t>
        </m:r>
      </m:oMath>
      <w:r w:rsidR="00D54C45">
        <w:t xml:space="preserve"> where each </w:t>
      </w:r>
      <m:oMath>
        <m:sSubSup>
          <m:sSubSupPr>
            <m:ctrlPr>
              <w:rPr>
                <w:rFonts w:ascii="Cambria Math" w:hAnsi="Cambria Math"/>
                <w:i/>
              </w:rPr>
            </m:ctrlPr>
          </m:sSubSupPr>
          <m:e>
            <m:acc>
              <m:accPr>
                <m:ctrlPr>
                  <w:rPr>
                    <w:rFonts w:ascii="Cambria Math" w:hAnsi="Cambria Math"/>
                  </w:rPr>
                </m:ctrlPr>
              </m:accPr>
              <m:e>
                <m:r>
                  <m:rPr>
                    <m:sty m:val="p"/>
                  </m:rPr>
                  <w:rPr>
                    <w:rFonts w:ascii="Cambria Math" w:hAnsi="Cambria Math"/>
                  </w:rPr>
                  <m:t>θ</m:t>
                </m:r>
              </m:e>
            </m:acc>
          </m:e>
          <m:sub>
            <m:r>
              <w:rPr>
                <w:rFonts w:ascii="Cambria Math" w:hAnsi="Cambria Math"/>
              </w:rPr>
              <m:t>i,j,k</m:t>
            </m:r>
          </m:sub>
          <m:sup>
            <m:r>
              <w:rPr>
                <w:rFonts w:ascii="Cambria Math" w:hAnsi="Cambria Math"/>
              </w:rPr>
              <m:t>*</m:t>
            </m:r>
          </m:sup>
        </m:sSubSup>
      </m:oMath>
      <w:r w:rsidR="00D54C45">
        <w:t xml:space="preserve"> </w:t>
      </w:r>
      <w:r w:rsidR="000E5366">
        <w:t>was</w:t>
      </w:r>
      <w:r w:rsidR="00D54C45">
        <w:t xml:space="preserve"> a random sample with replacement from the original dataset. </w:t>
      </w:r>
      <w:r w:rsidR="003259CA">
        <w:t>For each bootstrap replicate, t</w:t>
      </w:r>
      <w:r w:rsidR="00D54C45">
        <w:t xml:space="preserve">he </w:t>
      </w:r>
      <w:r w:rsidR="003259CA">
        <w:t xml:space="preserve">geographic area </w:t>
      </w:r>
      <w:r w:rsidR="00D54C45">
        <w:t xml:space="preserve">mean RPN </w:t>
      </w:r>
      <w:r w:rsidR="000E5366">
        <w:t>was</w:t>
      </w:r>
      <w:r w:rsidR="00D54C45">
        <w:t xml:space="preserve"> </w:t>
      </w:r>
      <w:r w:rsidR="003259CA">
        <w:t>calculated</w:t>
      </w:r>
      <w:r w:rsidR="00D54C45">
        <w:t xml:space="preserve"> as</w:t>
      </w:r>
      <w:r w:rsidR="00F45035">
        <w:t xml:space="preserve"> the sum of area-weighted CPUEs over all depth strata</w:t>
      </w:r>
    </w:p>
    <w:p w14:paraId="1F5FC826" w14:textId="77777777" w:rsidR="00A63A55" w:rsidRPr="00A63A55" w:rsidRDefault="00F35A78" w:rsidP="002E67FC">
      <w:pPr>
        <w:pStyle w:val="Equations"/>
        <w:rPr>
          <w:rFonts w:ascii="Arial" w:hAnsi="Arial"/>
          <w:color w:val="auto"/>
        </w:rPr>
      </w:pPr>
      <m:oMathPara>
        <m:oMath>
          <m:sSup>
            <m:sSupPr>
              <m:ctrlPr>
                <w:rPr>
                  <w:rFonts w:eastAsiaTheme="minorHAnsi" w:cstheme="minorBidi"/>
                  <w:iCs/>
                  <w:color w:val="auto"/>
                </w:rPr>
              </m:ctrlPr>
            </m:sSupPr>
            <m:e>
              <m:r>
                <m:t>E</m:t>
              </m:r>
              <m:d>
                <m:dPr>
                  <m:begChr m:val="["/>
                  <m:endChr m:val="]"/>
                  <m:ctrlPr/>
                </m:dPr>
                <m:e>
                  <m:sSub>
                    <m:sSubPr>
                      <m:ctrlPr/>
                    </m:sSubPr>
                    <m:e>
                      <m:acc>
                        <m:accPr>
                          <m:chr m:val="̅"/>
                          <m:ctrlPr/>
                        </m:accPr>
                        <m:e>
                          <m:r>
                            <m:t>ψ</m:t>
                          </m:r>
                        </m:e>
                      </m:acc>
                    </m:e>
                    <m:sub>
                      <m:r>
                        <m:t>k</m:t>
                      </m:r>
                    </m:sub>
                  </m:sSub>
                </m:e>
              </m:d>
            </m:e>
            <m:sup>
              <m:r>
                <m:t>*</m:t>
              </m:r>
            </m:sup>
          </m:sSup>
          <m:r>
            <m:t>=</m:t>
          </m:r>
          <m:nary>
            <m:naryPr>
              <m:chr m:val="∑"/>
              <m:limLoc m:val="undOvr"/>
              <m:supHide m:val="1"/>
              <m:ctrlPr>
                <w:rPr>
                  <w:rFonts w:eastAsiaTheme="minorHAnsi" w:cstheme="minorBidi"/>
                  <w:color w:val="auto"/>
                </w:rPr>
              </m:ctrlPr>
            </m:naryPr>
            <m:sub>
              <m:r>
                <m:t>j</m:t>
              </m:r>
            </m:sub>
            <m:sup/>
            <m:e>
              <m:nary>
                <m:naryPr>
                  <m:chr m:val="∑"/>
                  <m:limLoc m:val="undOvr"/>
                  <m:supHide m:val="1"/>
                  <m:ctrlPr>
                    <w:rPr>
                      <w:rFonts w:eastAsiaTheme="minorHAnsi" w:cstheme="minorBidi"/>
                      <w:color w:val="auto"/>
                    </w:rPr>
                  </m:ctrlPr>
                </m:naryPr>
                <m:sub>
                  <m:r>
                    <m:t>i</m:t>
                  </m:r>
                </m:sub>
                <m:sup/>
                <m:e>
                  <m:f>
                    <m:fPr>
                      <m:ctrlPr/>
                    </m:fPr>
                    <m:num>
                      <m:sSubSup>
                        <m:sSubSupPr>
                          <m:ctrlPr/>
                        </m:sSubSupPr>
                        <m:e>
                          <m:acc>
                            <m:accPr>
                              <m:ctrlPr/>
                            </m:accPr>
                            <m:e>
                              <m:r>
                                <m:t>θ</m:t>
                              </m:r>
                            </m:e>
                          </m:acc>
                        </m:e>
                        <m:sub>
                          <m:r>
                            <m:t>i,j,k</m:t>
                          </m:r>
                        </m:sub>
                        <m:sup>
                          <m:r>
                            <m:t>*</m:t>
                          </m:r>
                        </m:sup>
                      </m:sSubSup>
                      <m:sSub>
                        <m:sSubPr>
                          <m:ctrlPr/>
                        </m:sSubPr>
                        <m:e>
                          <m:r>
                            <m:t>w</m:t>
                          </m:r>
                        </m:e>
                        <m:sub>
                          <m:r>
                            <m:t>j,k</m:t>
                          </m:r>
                        </m:sub>
                      </m:sSub>
                    </m:num>
                    <m:den>
                      <m:sSubSup>
                        <m:sSubSupPr>
                          <m:ctrlPr>
                            <w:rPr>
                              <w:rFonts w:eastAsiaTheme="minorHAnsi" w:cstheme="minorBidi"/>
                              <w:color w:val="auto"/>
                            </w:rPr>
                          </m:ctrlPr>
                        </m:sSubSupPr>
                        <m:e>
                          <m:r>
                            <m:t>n</m:t>
                          </m:r>
                        </m:e>
                        <m:sub>
                          <m:r>
                            <m:t>j,k</m:t>
                          </m:r>
                        </m:sub>
                        <m:sup>
                          <m:r>
                            <m:t>*</m:t>
                          </m:r>
                        </m:sup>
                      </m:sSubSup>
                    </m:den>
                  </m:f>
                </m:e>
              </m:nary>
            </m:e>
          </m:nary>
          <m:r>
            <w:rPr>
              <w:color w:val="auto"/>
            </w:rPr>
            <m:t>.</m:t>
          </m:r>
        </m:oMath>
      </m:oMathPara>
    </w:p>
    <w:p w14:paraId="388E2017" w14:textId="77777777" w:rsidR="003259CA" w:rsidRDefault="000E5366" w:rsidP="002E67FC">
      <w:r>
        <w:t>T</w:t>
      </w:r>
      <w:r w:rsidR="006825CF">
        <w:t xml:space="preserve">he estimate of the geographic mean RPN </w:t>
      </w:r>
      <w:r>
        <w:t>was calculated as</w:t>
      </w:r>
      <w:r w:rsidR="006825CF">
        <w:t xml:space="preserve"> the m</w:t>
      </w:r>
      <w:r w:rsidR="00A63A55">
        <w:t>ean of the bootstrap replicates</w:t>
      </w:r>
    </w:p>
    <w:p w14:paraId="3F71D45E" w14:textId="77777777" w:rsidR="00A63A55" w:rsidRPr="002E67FC" w:rsidRDefault="00A63A55" w:rsidP="002E67FC">
      <w:pPr>
        <w:pStyle w:val="Equations"/>
        <w:rPr>
          <w:rFonts w:ascii="Arial" w:hAnsi="Arial"/>
          <w:color w:val="auto"/>
        </w:rPr>
      </w:pPr>
      <m:oMathPara>
        <m:oMath>
          <m:r>
            <w:rPr>
              <w:rFonts w:eastAsiaTheme="minorHAnsi" w:cstheme="minorBidi"/>
              <w:color w:val="auto"/>
            </w:rPr>
            <m:t>E</m:t>
          </m:r>
          <m:d>
            <m:dPr>
              <m:begChr m:val="["/>
              <m:endChr m:val="]"/>
              <m:ctrlPr>
                <w:rPr>
                  <w:rFonts w:eastAsiaTheme="minorHAnsi" w:cstheme="minorBidi"/>
                  <w:iCs/>
                  <w:color w:val="auto"/>
                </w:rPr>
              </m:ctrlPr>
            </m:dPr>
            <m:e>
              <m:sSub>
                <m:sSubPr>
                  <m:ctrlPr/>
                </m:sSubPr>
                <m:e>
                  <m:acc>
                    <m:accPr>
                      <m:chr m:val="̅"/>
                      <m:ctrlPr/>
                    </m:accPr>
                    <m:e>
                      <m:r>
                        <m:t>ψ</m:t>
                      </m:r>
                    </m:e>
                  </m:acc>
                </m:e>
                <m:sub>
                  <m:r>
                    <m:t>k</m:t>
                  </m:r>
                </m:sub>
              </m:sSub>
            </m:e>
          </m:d>
          <m:r>
            <m:t xml:space="preserve">= </m:t>
          </m:r>
          <m:f>
            <m:fPr>
              <m:ctrlPr/>
            </m:fPr>
            <m:num>
              <m:r>
                <m:t>1</m:t>
              </m:r>
            </m:num>
            <m:den>
              <m:r>
                <m:t>B</m:t>
              </m:r>
            </m:den>
          </m:f>
          <m:nary>
            <m:naryPr>
              <m:chr m:val="∑"/>
              <m:limLoc m:val="undOvr"/>
              <m:supHide m:val="1"/>
              <m:ctrlPr/>
            </m:naryPr>
            <m:sub>
              <m:r>
                <m:t>B</m:t>
              </m:r>
            </m:sub>
            <m:sup/>
            <m:e>
              <m:sSup>
                <m:sSupPr>
                  <m:ctrlPr>
                    <w:rPr>
                      <w:rFonts w:eastAsiaTheme="minorHAnsi" w:cstheme="minorBidi"/>
                      <w:iCs/>
                      <w:color w:val="auto"/>
                    </w:rPr>
                  </m:ctrlPr>
                </m:sSupPr>
                <m:e>
                  <m:r>
                    <m:t>E</m:t>
                  </m:r>
                  <m:d>
                    <m:dPr>
                      <m:begChr m:val="["/>
                      <m:endChr m:val="]"/>
                      <m:ctrlPr/>
                    </m:dPr>
                    <m:e>
                      <m:sSub>
                        <m:sSubPr>
                          <m:ctrlPr/>
                        </m:sSubPr>
                        <m:e>
                          <m:acc>
                            <m:accPr>
                              <m:chr m:val="̅"/>
                              <m:ctrlPr/>
                            </m:accPr>
                            <m:e>
                              <m:r>
                                <m:t>ψ</m:t>
                              </m:r>
                            </m:e>
                          </m:acc>
                        </m:e>
                        <m:sub>
                          <m:r>
                            <m:t>k</m:t>
                          </m:r>
                        </m:sub>
                      </m:sSub>
                    </m:e>
                  </m:d>
                </m:e>
                <m:sup>
                  <m:r>
                    <m:t>*</m:t>
                  </m:r>
                </m:sup>
              </m:sSup>
            </m:e>
          </m:nary>
          <m:r>
            <w:rPr>
              <w:color w:val="auto"/>
            </w:rPr>
            <m:t>,</m:t>
          </m:r>
        </m:oMath>
      </m:oMathPara>
    </w:p>
    <w:p w14:paraId="0CECF4F7" w14:textId="77777777" w:rsidR="002E67FC" w:rsidRDefault="002E67FC" w:rsidP="00A51725">
      <w:r>
        <w:t xml:space="preserve">and the </w:t>
      </w:r>
      <w:r w:rsidR="000E5366">
        <w:t xml:space="preserve">associated </w:t>
      </w:r>
      <w:r>
        <w:t xml:space="preserve">bootstrap </w:t>
      </w:r>
      <w:r w:rsidR="00A51725">
        <w:t>variance estimate</w:t>
      </w:r>
      <w:r>
        <w:t xml:space="preserve"> </w:t>
      </w:r>
      <w:r w:rsidR="000E5366">
        <w:t>was</w:t>
      </w:r>
      <w:r>
        <w:t xml:space="preserve"> given by</w:t>
      </w:r>
    </w:p>
    <w:p w14:paraId="797E60E6" w14:textId="08FAAC8B" w:rsidR="002E67FC" w:rsidRPr="002E67FC" w:rsidRDefault="00F35A78" w:rsidP="002E67FC">
      <w:pPr>
        <w:pStyle w:val="Equations"/>
        <w:rPr>
          <w:rFonts w:ascii="Arial" w:hAnsi="Arial"/>
          <w:color w:val="auto"/>
        </w:rPr>
      </w:pPr>
      <m:oMathPara>
        <m:oMath>
          <m:acc>
            <m:accPr>
              <m:ctrlPr/>
            </m:accPr>
            <m:e>
              <m:r>
                <m:t>V</m:t>
              </m:r>
            </m:e>
          </m:acc>
          <m:d>
            <m:dPr>
              <m:begChr m:val="["/>
              <m:endChr m:val="]"/>
              <m:ctrlPr>
                <w:rPr>
                  <w:rFonts w:eastAsiaTheme="minorHAnsi" w:cstheme="minorBidi"/>
                  <w:iCs/>
                  <w:color w:val="auto"/>
                </w:rPr>
              </m:ctrlPr>
            </m:dPr>
            <m:e>
              <m:sSub>
                <m:sSubPr>
                  <m:ctrlPr/>
                </m:sSubPr>
                <m:e>
                  <m:acc>
                    <m:accPr>
                      <m:chr m:val="̅"/>
                      <m:ctrlPr/>
                    </m:accPr>
                    <m:e>
                      <m:r>
                        <m:t>ψ</m:t>
                      </m:r>
                    </m:e>
                  </m:acc>
                </m:e>
                <m:sub>
                  <m:r>
                    <m:t>k</m:t>
                  </m:r>
                </m:sub>
              </m:sSub>
            </m:e>
          </m:d>
          <m:r>
            <m:t xml:space="preserve">= </m:t>
          </m:r>
          <m:f>
            <m:fPr>
              <m:ctrlPr/>
            </m:fPr>
            <m:num>
              <m:r>
                <m:t>1</m:t>
              </m:r>
            </m:num>
            <m:den>
              <m:r>
                <m:t>B-1</m:t>
              </m:r>
            </m:den>
          </m:f>
          <m:nary>
            <m:naryPr>
              <m:chr m:val="∑"/>
              <m:limLoc m:val="undOvr"/>
              <m:supHide m:val="1"/>
              <m:ctrlPr/>
            </m:naryPr>
            <m:sub>
              <m:r>
                <m:t>B</m:t>
              </m:r>
            </m:sub>
            <m:sup/>
            <m:e>
              <m:sSup>
                <m:sSupPr>
                  <m:ctrlPr>
                    <w:rPr>
                      <w:rFonts w:eastAsiaTheme="minorHAnsi" w:cstheme="minorBidi"/>
                      <w:iCs/>
                      <w:color w:val="auto"/>
                    </w:rPr>
                  </m:ctrlPr>
                </m:sSupPr>
                <m:e>
                  <m:r>
                    <m:t>(E</m:t>
                  </m:r>
                  <m:d>
                    <m:dPr>
                      <m:begChr m:val="["/>
                      <m:endChr m:val="]"/>
                      <m:ctrlPr/>
                    </m:dPr>
                    <m:e>
                      <m:sSub>
                        <m:sSubPr>
                          <m:ctrlPr/>
                        </m:sSubPr>
                        <m:e>
                          <m:acc>
                            <m:accPr>
                              <m:chr m:val="̅"/>
                              <m:ctrlPr/>
                            </m:accPr>
                            <m:e>
                              <m:r>
                                <m:t>ψ</m:t>
                              </m:r>
                            </m:e>
                          </m:acc>
                        </m:e>
                        <m:sub>
                          <m:r>
                            <m:t>k</m:t>
                          </m:r>
                        </m:sub>
                      </m:sSub>
                    </m:e>
                  </m:d>
                </m:e>
                <m:sup>
                  <m:r>
                    <m:t>*</m:t>
                  </m:r>
                </m:sup>
              </m:sSup>
              <m:r>
                <w:rPr>
                  <w:rFonts w:eastAsiaTheme="minorHAnsi" w:cstheme="minorBidi"/>
                  <w:color w:val="auto"/>
                </w:rPr>
                <m:t>-E</m:t>
              </m:r>
              <m:d>
                <m:dPr>
                  <m:begChr m:val="["/>
                  <m:endChr m:val="]"/>
                  <m:ctrlPr>
                    <w:rPr>
                      <w:rFonts w:eastAsiaTheme="minorHAnsi" w:cstheme="minorBidi"/>
                      <w:iCs/>
                      <w:color w:val="auto"/>
                    </w:rPr>
                  </m:ctrlPr>
                </m:dPr>
                <m:e>
                  <m:sSub>
                    <m:sSubPr>
                      <m:ctrlPr/>
                    </m:sSubPr>
                    <m:e>
                      <m:acc>
                        <m:accPr>
                          <m:chr m:val="̅"/>
                          <m:ctrlPr/>
                        </m:accPr>
                        <m:e>
                          <m:r>
                            <m:t>ψ</m:t>
                          </m:r>
                        </m:e>
                      </m:acc>
                    </m:e>
                    <m:sub>
                      <m:r>
                        <m:t>k</m:t>
                      </m:r>
                    </m:sub>
                  </m:sSub>
                </m:e>
              </m:d>
              <m:r>
                <m:t>)</m:t>
              </m:r>
            </m:e>
          </m:nary>
          <m:r>
            <w:rPr>
              <w:color w:val="auto"/>
            </w:rPr>
            <m:t>.</m:t>
          </m:r>
        </m:oMath>
      </m:oMathPara>
    </w:p>
    <w:p w14:paraId="1042FACB" w14:textId="2C0077B5" w:rsidR="00640AA5" w:rsidRDefault="001F2739" w:rsidP="004B0207">
      <w:pPr>
        <w:pStyle w:val="Heading1"/>
      </w:pPr>
      <w:r>
        <w:t>Example</w:t>
      </w:r>
    </w:p>
    <w:p w14:paraId="28FD26BC" w14:textId="12C3B4D2" w:rsidR="001F2739" w:rsidRDefault="001F2739" w:rsidP="00640AA5"/>
    <w:p w14:paraId="78FC8A71" w14:textId="28424659" w:rsidR="001F2739" w:rsidRDefault="001F2739" w:rsidP="00640AA5">
      <w:r>
        <w:t xml:space="preserve">The following R code includes an example of how to query the IPHC FISS RPNs for </w:t>
      </w:r>
      <w:r w:rsidR="004B0207">
        <w:t>spiny dogfish</w:t>
      </w:r>
      <w:r>
        <w:t xml:space="preserve"> in the GOA and plot the time series.</w:t>
      </w:r>
    </w:p>
    <w:p w14:paraId="6B4C8582" w14:textId="71AAC7EE" w:rsidR="004B0207" w:rsidRDefault="004B0207" w:rsidP="00640AA5"/>
    <w:p w14:paraId="3E21EB60" w14:textId="77777777" w:rsidR="004B0207" w:rsidRDefault="004B0207" w:rsidP="004B0207">
      <w:pPr>
        <w:pStyle w:val="Heading2"/>
      </w:pPr>
      <w:bookmarkStart w:id="1" w:name="X7e6259ea3f3306bbd9e09e82e2908c6d5e09415"/>
      <w:r>
        <w:t>Connect to the AKFIN database and query the spiny dogfish relative population numbers in the Central GOA and East Yakutat/Southeast management areas</w:t>
      </w:r>
    </w:p>
    <w:p w14:paraId="364F9CD7" w14:textId="200DB7FC" w:rsidR="004B0207" w:rsidRDefault="004B0207" w:rsidP="004B0207">
      <w:pPr>
        <w:pStyle w:val="SourceCode"/>
        <w:rPr>
          <w:rStyle w:val="NormalTok"/>
        </w:rPr>
      </w:pPr>
      <w:r>
        <w:rPr>
          <w:rStyle w:val="NormalTok"/>
        </w:rPr>
        <w:t xml:space="preserve">libs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dplyr</w:t>
      </w:r>
      <w:proofErr w:type="spellEnd"/>
      <w:r>
        <w:rPr>
          <w:rStyle w:val="StringTok"/>
        </w:rPr>
        <w:t>'</w:t>
      </w:r>
      <w:r>
        <w:rPr>
          <w:rStyle w:val="NormalTok"/>
        </w:rPr>
        <w:t xml:space="preserve">, </w:t>
      </w:r>
      <w:r>
        <w:rPr>
          <w:rStyle w:val="StringTok"/>
        </w:rPr>
        <w:t>'</w:t>
      </w:r>
      <w:proofErr w:type="spellStart"/>
      <w:r>
        <w:rPr>
          <w:rStyle w:val="StringTok"/>
        </w:rPr>
        <w:t>tidyr</w:t>
      </w:r>
      <w:proofErr w:type="spellEnd"/>
      <w:r>
        <w:rPr>
          <w:rStyle w:val="StringTok"/>
        </w:rPr>
        <w:t>'</w:t>
      </w:r>
      <w:r>
        <w:rPr>
          <w:rStyle w:val="NormalTok"/>
        </w:rPr>
        <w:t xml:space="preserve">, </w:t>
      </w:r>
      <w:r>
        <w:rPr>
          <w:rStyle w:val="StringTok"/>
        </w:rPr>
        <w:t>'RODBC'</w:t>
      </w:r>
      <w:r>
        <w:rPr>
          <w:rStyle w:val="NormalTok"/>
        </w:rPr>
        <w:t xml:space="preserve">, </w:t>
      </w:r>
      <w:r>
        <w:rPr>
          <w:rStyle w:val="StringTok"/>
        </w:rPr>
        <w:t>'ggplot2'</w:t>
      </w:r>
      <w:r>
        <w:rPr>
          <w:rStyle w:val="NormalTok"/>
        </w:rPr>
        <w:t>)</w:t>
      </w:r>
      <w:r>
        <w:br/>
      </w:r>
      <w:r>
        <w:rPr>
          <w:rStyle w:val="ControlFlowTok"/>
        </w:rPr>
        <w:t>if</w:t>
      </w:r>
      <w:r>
        <w:rPr>
          <w:rStyle w:val="NormalTok"/>
        </w:rPr>
        <w:t>(</w:t>
      </w:r>
      <w:r>
        <w:rPr>
          <w:rStyle w:val="FunctionTok"/>
        </w:rPr>
        <w:t>length</w:t>
      </w:r>
      <w:r>
        <w:rPr>
          <w:rStyle w:val="NormalTok"/>
        </w:rPr>
        <w:t>(libs[</w:t>
      </w:r>
      <w:r>
        <w:rPr>
          <w:rStyle w:val="FunctionTok"/>
        </w:rPr>
        <w:t>which</w:t>
      </w:r>
      <w:r>
        <w:rPr>
          <w:rStyle w:val="NormalTok"/>
        </w:rPr>
        <w:t xml:space="preserve">(libs </w:t>
      </w:r>
      <w:r>
        <w:rPr>
          <w:rStyle w:val="SpecialCharTok"/>
        </w:rPr>
        <w:t>%in%</w:t>
      </w:r>
      <w:r>
        <w:rPr>
          <w:rStyle w:val="NormalTok"/>
        </w:rPr>
        <w:t xml:space="preserve"> </w:t>
      </w:r>
      <w:proofErr w:type="spellStart"/>
      <w:r>
        <w:rPr>
          <w:rStyle w:val="FunctionTok"/>
        </w:rPr>
        <w:t>rownames</w:t>
      </w:r>
      <w:proofErr w:type="spellEnd"/>
      <w:r>
        <w:rPr>
          <w:rStyle w:val="NormalTok"/>
        </w:rPr>
        <w:t>(</w:t>
      </w:r>
      <w:proofErr w:type="spellStart"/>
      <w:r>
        <w:rPr>
          <w:rStyle w:val="FunctionTok"/>
        </w:rPr>
        <w:t>installed.packages</w:t>
      </w:r>
      <w:proofErr w:type="spellEnd"/>
      <w:r>
        <w:rPr>
          <w:rStyle w:val="NormalTok"/>
        </w:rPr>
        <w:t xml:space="preserve">()) </w:t>
      </w:r>
      <w:r>
        <w:rPr>
          <w:rStyle w:val="SpecialCharTok"/>
        </w:rPr>
        <w:t>==</w:t>
      </w:r>
      <w:r>
        <w:rPr>
          <w:rStyle w:val="NormalTok"/>
        </w:rPr>
        <w:t xml:space="preserve"> </w:t>
      </w:r>
      <w:r>
        <w:rPr>
          <w:rStyle w:val="ConstantTok"/>
        </w:rPr>
        <w:t>FALSE</w:t>
      </w:r>
      <w:r>
        <w:rPr>
          <w:rStyle w:val="NormalTok"/>
        </w:rPr>
        <w:t xml:space="preserve"> )]) </w:t>
      </w:r>
      <w:r>
        <w:rPr>
          <w:rStyle w:val="SpecialCharTok"/>
        </w:rPr>
        <w:t>&gt;</w:t>
      </w:r>
      <w:r>
        <w:rPr>
          <w:rStyle w:val="NormalTok"/>
        </w:rPr>
        <w:t xml:space="preserve"> </w:t>
      </w:r>
      <w:r>
        <w:rPr>
          <w:rStyle w:val="DecValTok"/>
        </w:rPr>
        <w:t>0</w:t>
      </w:r>
      <w:r>
        <w:rPr>
          <w:rStyle w:val="NormalTok"/>
        </w:rPr>
        <w:t>) {</w:t>
      </w:r>
      <w:proofErr w:type="spellStart"/>
      <w:r>
        <w:rPr>
          <w:rStyle w:val="FunctionTok"/>
        </w:rPr>
        <w:t>install.packages</w:t>
      </w:r>
      <w:proofErr w:type="spellEnd"/>
      <w:r>
        <w:rPr>
          <w:rStyle w:val="NormalTok"/>
        </w:rPr>
        <w:t>(libs[</w:t>
      </w:r>
      <w:r>
        <w:rPr>
          <w:rStyle w:val="FunctionTok"/>
        </w:rPr>
        <w:t>which</w:t>
      </w:r>
      <w:r>
        <w:rPr>
          <w:rStyle w:val="NormalTok"/>
        </w:rPr>
        <w:t xml:space="preserve">(libs </w:t>
      </w:r>
      <w:r>
        <w:rPr>
          <w:rStyle w:val="SpecialCharTok"/>
        </w:rPr>
        <w:t>%in%</w:t>
      </w:r>
      <w:r>
        <w:rPr>
          <w:rStyle w:val="NormalTok"/>
        </w:rPr>
        <w:t xml:space="preserve"> </w:t>
      </w:r>
      <w:proofErr w:type="spellStart"/>
      <w:r>
        <w:rPr>
          <w:rStyle w:val="FunctionTok"/>
        </w:rPr>
        <w:t>rownames</w:t>
      </w:r>
      <w:proofErr w:type="spellEnd"/>
      <w:r>
        <w:rPr>
          <w:rStyle w:val="NormalTok"/>
        </w:rPr>
        <w:t>(</w:t>
      </w:r>
      <w:proofErr w:type="spellStart"/>
      <w:r>
        <w:rPr>
          <w:rStyle w:val="FunctionTok"/>
        </w:rPr>
        <w:t>installed.packages</w:t>
      </w:r>
      <w:proofErr w:type="spellEnd"/>
      <w:r>
        <w:rPr>
          <w:rStyle w:val="NormalTok"/>
        </w:rPr>
        <w:t xml:space="preserve">()) </w:t>
      </w:r>
      <w:r>
        <w:rPr>
          <w:rStyle w:val="SpecialCharTok"/>
        </w:rPr>
        <w:t>==</w:t>
      </w:r>
      <w:r>
        <w:rPr>
          <w:rStyle w:val="NormalTok"/>
        </w:rPr>
        <w:t xml:space="preserve"> </w:t>
      </w:r>
      <w:r>
        <w:rPr>
          <w:rStyle w:val="ConstantTok"/>
        </w:rPr>
        <w:t>FALSE</w:t>
      </w:r>
      <w:r>
        <w:rPr>
          <w:rStyle w:val="NormalTok"/>
        </w:rPr>
        <w:t>)])}</w:t>
      </w:r>
      <w:r>
        <w:br/>
      </w:r>
      <w:proofErr w:type="spellStart"/>
      <w:r>
        <w:rPr>
          <w:rStyle w:val="FunctionTok"/>
        </w:rPr>
        <w:t>lapply</w:t>
      </w:r>
      <w:proofErr w:type="spellEnd"/>
      <w:r>
        <w:rPr>
          <w:rStyle w:val="NormalTok"/>
        </w:rPr>
        <w:t xml:space="preserve">(libs, library, </w:t>
      </w:r>
      <w:proofErr w:type="spellStart"/>
      <w:r>
        <w:rPr>
          <w:rStyle w:val="AttributeTok"/>
        </w:rPr>
        <w:t>character.only</w:t>
      </w:r>
      <w:proofErr w:type="spellEnd"/>
      <w:r>
        <w:rPr>
          <w:rStyle w:val="AttributeTok"/>
        </w:rPr>
        <w:t xml:space="preserve"> =</w:t>
      </w:r>
      <w:r>
        <w:rPr>
          <w:rStyle w:val="NormalTok"/>
        </w:rPr>
        <w:t xml:space="preserve"> </w:t>
      </w:r>
      <w:r>
        <w:rPr>
          <w:rStyle w:val="ConstantTok"/>
        </w:rPr>
        <w:t>TRUE</w:t>
      </w:r>
      <w:r>
        <w:rPr>
          <w:rStyle w:val="NormalTok"/>
        </w:rPr>
        <w:t>)</w:t>
      </w:r>
    </w:p>
    <w:p w14:paraId="2740AB37" w14:textId="3AD5EDFD" w:rsidR="004B0207" w:rsidRDefault="00D575AE" w:rsidP="004B0207">
      <w:pPr>
        <w:pStyle w:val="SourceCode"/>
      </w:pPr>
      <w:r>
        <w:t># Enter your username and password for the AKFIN database. Note that these credentials are different than what you may use to access AKFIN Answer. Contact AKFIN for more information.</w:t>
      </w:r>
      <w:r>
        <w:br/>
      </w:r>
      <w:proofErr w:type="spellStart"/>
      <w:r w:rsidR="004B0207">
        <w:rPr>
          <w:rStyle w:val="NormalTok"/>
        </w:rPr>
        <w:t>username_akfin</w:t>
      </w:r>
      <w:proofErr w:type="spellEnd"/>
      <w:r w:rsidR="004B0207">
        <w:rPr>
          <w:rStyle w:val="NormalTok"/>
        </w:rPr>
        <w:t xml:space="preserve"> </w:t>
      </w:r>
      <w:r w:rsidR="004B0207">
        <w:rPr>
          <w:rStyle w:val="OtherTok"/>
        </w:rPr>
        <w:t>=</w:t>
      </w:r>
      <w:r w:rsidR="004B0207">
        <w:rPr>
          <w:rStyle w:val="NormalTok"/>
        </w:rPr>
        <w:t xml:space="preserve"> </w:t>
      </w:r>
      <w:r w:rsidR="004B0207">
        <w:rPr>
          <w:rStyle w:val="StringTok"/>
        </w:rPr>
        <w:t>'</w:t>
      </w:r>
      <w:proofErr w:type="spellStart"/>
      <w:r>
        <w:rPr>
          <w:rStyle w:val="StringTok"/>
        </w:rPr>
        <w:t>my_username</w:t>
      </w:r>
      <w:proofErr w:type="spellEnd"/>
      <w:r w:rsidR="004B0207">
        <w:rPr>
          <w:rStyle w:val="StringTok"/>
        </w:rPr>
        <w:t>'</w:t>
      </w:r>
      <w:r w:rsidR="004B0207">
        <w:br/>
      </w:r>
      <w:proofErr w:type="spellStart"/>
      <w:r w:rsidR="004B0207">
        <w:rPr>
          <w:rStyle w:val="NormalTok"/>
        </w:rPr>
        <w:t>password_akfin</w:t>
      </w:r>
      <w:proofErr w:type="spellEnd"/>
      <w:r w:rsidR="004B0207">
        <w:rPr>
          <w:rStyle w:val="NormalTok"/>
        </w:rPr>
        <w:t xml:space="preserve"> </w:t>
      </w:r>
      <w:r w:rsidR="004B0207">
        <w:rPr>
          <w:rStyle w:val="OtherTok"/>
        </w:rPr>
        <w:t>=</w:t>
      </w:r>
      <w:r w:rsidR="004B0207">
        <w:rPr>
          <w:rStyle w:val="NormalTok"/>
        </w:rPr>
        <w:t xml:space="preserve"> </w:t>
      </w:r>
      <w:r w:rsidR="004B0207">
        <w:rPr>
          <w:rStyle w:val="StringTok"/>
        </w:rPr>
        <w:t>'</w:t>
      </w:r>
      <w:proofErr w:type="spellStart"/>
      <w:r>
        <w:rPr>
          <w:rStyle w:val="StringTok"/>
        </w:rPr>
        <w:t>my_password</w:t>
      </w:r>
      <w:proofErr w:type="spellEnd"/>
      <w:r w:rsidR="004B0207">
        <w:rPr>
          <w:rStyle w:val="StringTok"/>
        </w:rPr>
        <w:t>'</w:t>
      </w:r>
      <w:r w:rsidR="004B0207">
        <w:br/>
      </w:r>
      <w:proofErr w:type="spellStart"/>
      <w:r w:rsidR="004B0207">
        <w:rPr>
          <w:rStyle w:val="NormalTok"/>
        </w:rPr>
        <w:t>channel_akfin</w:t>
      </w:r>
      <w:proofErr w:type="spellEnd"/>
      <w:r w:rsidR="004B0207">
        <w:rPr>
          <w:rStyle w:val="NormalTok"/>
        </w:rPr>
        <w:t xml:space="preserve"> </w:t>
      </w:r>
      <w:r w:rsidR="004B0207">
        <w:rPr>
          <w:rStyle w:val="OtherTok"/>
        </w:rPr>
        <w:t>&lt;-</w:t>
      </w:r>
      <w:r w:rsidR="004B0207">
        <w:rPr>
          <w:rStyle w:val="NormalTok"/>
        </w:rPr>
        <w:t xml:space="preserve"> </w:t>
      </w:r>
      <w:proofErr w:type="spellStart"/>
      <w:r w:rsidR="004B0207">
        <w:rPr>
          <w:rStyle w:val="FunctionTok"/>
        </w:rPr>
        <w:t>odbcConnect</w:t>
      </w:r>
      <w:proofErr w:type="spellEnd"/>
      <w:r w:rsidR="004B0207">
        <w:rPr>
          <w:rStyle w:val="NormalTok"/>
        </w:rPr>
        <w:t>(</w:t>
      </w:r>
      <w:r w:rsidR="004B0207">
        <w:rPr>
          <w:rStyle w:val="StringTok"/>
        </w:rPr>
        <w:t>"</w:t>
      </w:r>
      <w:proofErr w:type="spellStart"/>
      <w:r w:rsidR="004B0207">
        <w:rPr>
          <w:rStyle w:val="StringTok"/>
        </w:rPr>
        <w:t>akfin</w:t>
      </w:r>
      <w:proofErr w:type="spellEnd"/>
      <w:r w:rsidR="004B0207">
        <w:rPr>
          <w:rStyle w:val="StringTok"/>
        </w:rPr>
        <w:t>"</w:t>
      </w:r>
      <w:r w:rsidR="004B0207">
        <w:rPr>
          <w:rStyle w:val="NormalTok"/>
        </w:rPr>
        <w:t xml:space="preserve">, </w:t>
      </w:r>
      <w:proofErr w:type="spellStart"/>
      <w:r w:rsidR="004B0207">
        <w:rPr>
          <w:rStyle w:val="AttributeTok"/>
        </w:rPr>
        <w:t>uid</w:t>
      </w:r>
      <w:proofErr w:type="spellEnd"/>
      <w:r w:rsidR="004B0207">
        <w:rPr>
          <w:rStyle w:val="AttributeTok"/>
        </w:rPr>
        <w:t xml:space="preserve"> =</w:t>
      </w:r>
      <w:r w:rsidR="004B0207">
        <w:rPr>
          <w:rStyle w:val="NormalTok"/>
        </w:rPr>
        <w:t xml:space="preserve"> </w:t>
      </w:r>
      <w:proofErr w:type="spellStart"/>
      <w:r w:rsidR="004B0207">
        <w:rPr>
          <w:rStyle w:val="NormalTok"/>
        </w:rPr>
        <w:t>username_akfin</w:t>
      </w:r>
      <w:proofErr w:type="spellEnd"/>
      <w:r w:rsidR="004B0207">
        <w:rPr>
          <w:rStyle w:val="NormalTok"/>
        </w:rPr>
        <w:t xml:space="preserve">, </w:t>
      </w:r>
      <w:proofErr w:type="spellStart"/>
      <w:r w:rsidR="004B0207">
        <w:rPr>
          <w:rStyle w:val="AttributeTok"/>
        </w:rPr>
        <w:t>pwd</w:t>
      </w:r>
      <w:proofErr w:type="spellEnd"/>
      <w:r w:rsidR="004B0207">
        <w:rPr>
          <w:rStyle w:val="AttributeTok"/>
        </w:rPr>
        <w:t xml:space="preserve"> =</w:t>
      </w:r>
      <w:r w:rsidR="004B0207">
        <w:rPr>
          <w:rStyle w:val="NormalTok"/>
        </w:rPr>
        <w:t xml:space="preserve"> </w:t>
      </w:r>
      <w:proofErr w:type="spellStart"/>
      <w:r w:rsidR="004B0207">
        <w:rPr>
          <w:rStyle w:val="NormalTok"/>
        </w:rPr>
        <w:t>password_akfin</w:t>
      </w:r>
      <w:proofErr w:type="spellEnd"/>
      <w:r w:rsidR="004B0207">
        <w:rPr>
          <w:rStyle w:val="NormalTok"/>
        </w:rPr>
        <w:t xml:space="preserve">, </w:t>
      </w:r>
      <w:proofErr w:type="spellStart"/>
      <w:r w:rsidR="004B0207">
        <w:rPr>
          <w:rStyle w:val="AttributeTok"/>
        </w:rPr>
        <w:t>believeNRows</w:t>
      </w:r>
      <w:proofErr w:type="spellEnd"/>
      <w:r w:rsidR="004B0207">
        <w:rPr>
          <w:rStyle w:val="AttributeTok"/>
        </w:rPr>
        <w:t>=</w:t>
      </w:r>
      <w:r w:rsidR="004B0207">
        <w:rPr>
          <w:rStyle w:val="ConstantTok"/>
        </w:rPr>
        <w:t>FALSE</w:t>
      </w:r>
      <w:r w:rsidR="004B0207">
        <w:rPr>
          <w:rStyle w:val="NormalTok"/>
        </w:rPr>
        <w:t>)</w:t>
      </w:r>
      <w:r w:rsidR="004B0207">
        <w:br/>
      </w:r>
      <w:r w:rsidR="004B0207">
        <w:br/>
      </w:r>
      <w:r w:rsidR="004B0207">
        <w:rPr>
          <w:rStyle w:val="NormalTok"/>
        </w:rPr>
        <w:t xml:space="preserve">dogfish </w:t>
      </w:r>
      <w:r w:rsidR="004B0207">
        <w:rPr>
          <w:rStyle w:val="OtherTok"/>
        </w:rPr>
        <w:t>&lt;-</w:t>
      </w:r>
      <w:r w:rsidR="004B0207">
        <w:rPr>
          <w:rStyle w:val="NormalTok"/>
        </w:rPr>
        <w:t xml:space="preserve"> </w:t>
      </w:r>
      <w:proofErr w:type="spellStart"/>
      <w:r w:rsidR="004B0207">
        <w:rPr>
          <w:rStyle w:val="FunctionTok"/>
        </w:rPr>
        <w:t>sqlQuery</w:t>
      </w:r>
      <w:proofErr w:type="spellEnd"/>
      <w:r w:rsidR="004B0207">
        <w:rPr>
          <w:rStyle w:val="NormalTok"/>
        </w:rPr>
        <w:t>(</w:t>
      </w:r>
      <w:proofErr w:type="spellStart"/>
      <w:r w:rsidR="004B0207">
        <w:rPr>
          <w:rStyle w:val="NormalTok"/>
        </w:rPr>
        <w:t>channel_akfin</w:t>
      </w:r>
      <w:proofErr w:type="spellEnd"/>
      <w:r w:rsidR="004B0207">
        <w:rPr>
          <w:rStyle w:val="NormalTok"/>
        </w:rPr>
        <w:t xml:space="preserve">, </w:t>
      </w:r>
      <w:r w:rsidR="004B0207">
        <w:rPr>
          <w:rStyle w:val="AttributeTok"/>
        </w:rPr>
        <w:t>query =</w:t>
      </w:r>
      <w:r w:rsidR="004B0207">
        <w:rPr>
          <w:rStyle w:val="NormalTok"/>
        </w:rPr>
        <w:t xml:space="preserve"> (</w:t>
      </w:r>
      <w:r w:rsidR="004B0207">
        <w:rPr>
          <w:rStyle w:val="StringTok"/>
        </w:rPr>
        <w:t>"</w:t>
      </w:r>
      <w:r w:rsidR="004B0207">
        <w:br/>
      </w:r>
      <w:r w:rsidR="004B0207">
        <w:rPr>
          <w:rStyle w:val="StringTok"/>
        </w:rPr>
        <w:t xml:space="preserve">                select    *</w:t>
      </w:r>
      <w:r w:rsidR="004B0207">
        <w:br/>
      </w:r>
      <w:r w:rsidR="004B0207">
        <w:rPr>
          <w:rStyle w:val="StringTok"/>
        </w:rPr>
        <w:t xml:space="preserve">                from      </w:t>
      </w:r>
      <w:proofErr w:type="spellStart"/>
      <w:r w:rsidR="004B0207">
        <w:rPr>
          <w:rStyle w:val="StringTok"/>
        </w:rPr>
        <w:t>afsc_host.fiss_rpn</w:t>
      </w:r>
      <w:proofErr w:type="spellEnd"/>
      <w:r w:rsidR="004B0207">
        <w:br/>
      </w:r>
      <w:r w:rsidR="004B0207">
        <w:rPr>
          <w:rStyle w:val="StringTok"/>
        </w:rPr>
        <w:t xml:space="preserve">                where     species in ('Spiny dogfish') and </w:t>
      </w:r>
      <w:proofErr w:type="spellStart"/>
      <w:r w:rsidR="004B0207">
        <w:rPr>
          <w:rStyle w:val="StringTok"/>
        </w:rPr>
        <w:t>fmp_sub_area</w:t>
      </w:r>
      <w:proofErr w:type="spellEnd"/>
      <w:r w:rsidR="004B0207">
        <w:rPr>
          <w:rStyle w:val="StringTok"/>
        </w:rPr>
        <w:t xml:space="preserve"> in ('CGOA', 'EY/SE')</w:t>
      </w:r>
      <w:r w:rsidR="004B0207">
        <w:br/>
      </w:r>
      <w:r w:rsidR="004B0207">
        <w:rPr>
          <w:rStyle w:val="StringTok"/>
        </w:rPr>
        <w:t xml:space="preserve">                "</w:t>
      </w:r>
      <w:r w:rsidR="004B0207">
        <w:rPr>
          <w:rStyle w:val="NormalTok"/>
        </w:rPr>
        <w:t xml:space="preserve">)) </w:t>
      </w:r>
      <w:r w:rsidR="004B0207">
        <w:rPr>
          <w:rStyle w:val="SpecialCharTok"/>
        </w:rPr>
        <w:t>%&gt;%</w:t>
      </w:r>
      <w:r w:rsidR="004B0207">
        <w:rPr>
          <w:rStyle w:val="NormalTok"/>
        </w:rPr>
        <w:t xml:space="preserve"> </w:t>
      </w:r>
      <w:r w:rsidR="004B0207">
        <w:br/>
      </w:r>
      <w:r w:rsidR="004B0207">
        <w:rPr>
          <w:rStyle w:val="NormalTok"/>
        </w:rPr>
        <w:t xml:space="preserve">  </w:t>
      </w:r>
      <w:proofErr w:type="spellStart"/>
      <w:r w:rsidR="004B0207">
        <w:rPr>
          <w:rStyle w:val="NormalTok"/>
        </w:rPr>
        <w:t>dplyr</w:t>
      </w:r>
      <w:proofErr w:type="spellEnd"/>
      <w:r w:rsidR="004B0207">
        <w:rPr>
          <w:rStyle w:val="SpecialCharTok"/>
        </w:rPr>
        <w:t>::</w:t>
      </w:r>
      <w:proofErr w:type="spellStart"/>
      <w:r w:rsidR="004B0207">
        <w:rPr>
          <w:rStyle w:val="FunctionTok"/>
        </w:rPr>
        <w:t>rename_all</w:t>
      </w:r>
      <w:proofErr w:type="spellEnd"/>
      <w:r w:rsidR="004B0207">
        <w:rPr>
          <w:rStyle w:val="NormalTok"/>
        </w:rPr>
        <w:t>(</w:t>
      </w:r>
      <w:proofErr w:type="spellStart"/>
      <w:r w:rsidR="004B0207">
        <w:rPr>
          <w:rStyle w:val="NormalTok"/>
        </w:rPr>
        <w:t>tolower</w:t>
      </w:r>
      <w:proofErr w:type="spellEnd"/>
      <w:r w:rsidR="004B0207">
        <w:rPr>
          <w:rStyle w:val="NormalTok"/>
        </w:rPr>
        <w:t xml:space="preserve">) </w:t>
      </w:r>
    </w:p>
    <w:p w14:paraId="76F51EEA" w14:textId="77777777" w:rsidR="004B0207" w:rsidRDefault="004B0207" w:rsidP="004B0207">
      <w:pPr>
        <w:pStyle w:val="Heading2"/>
      </w:pPr>
      <w:bookmarkStart w:id="2" w:name="X2cbc98fb476df6a475857553020eeb3e910e922"/>
      <w:bookmarkEnd w:id="1"/>
      <w:r>
        <w:t>Plot the IPHC survey relative population numbers for spiny dogfish</w:t>
      </w:r>
    </w:p>
    <w:p w14:paraId="34AFF138" w14:textId="77777777" w:rsidR="004B0207" w:rsidRDefault="004B0207" w:rsidP="004B0207">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dogfish,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survey_year</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geom_ribbon</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ymin</w:t>
      </w:r>
      <w:proofErr w:type="spellEnd"/>
      <w:r>
        <w:rPr>
          <w:rStyle w:val="AttributeTok"/>
        </w:rPr>
        <w:t xml:space="preserve"> =</w:t>
      </w:r>
      <w:r>
        <w:rPr>
          <w:rStyle w:val="NormalTok"/>
        </w:rPr>
        <w:t xml:space="preserve"> </w:t>
      </w:r>
      <w:proofErr w:type="spellStart"/>
      <w:r>
        <w:rPr>
          <w:rStyle w:val="NormalTok"/>
        </w:rPr>
        <w:t>fmp_lci</w:t>
      </w:r>
      <w:proofErr w:type="spellEnd"/>
      <w:r>
        <w:rPr>
          <w:rStyle w:val="NormalTok"/>
        </w:rPr>
        <w:t xml:space="preserve">, </w:t>
      </w:r>
      <w:proofErr w:type="spellStart"/>
      <w:r>
        <w:rPr>
          <w:rStyle w:val="AttributeTok"/>
        </w:rPr>
        <w:t>ymax</w:t>
      </w:r>
      <w:proofErr w:type="spellEnd"/>
      <w:r>
        <w:rPr>
          <w:rStyle w:val="AttributeTok"/>
        </w:rPr>
        <w:t xml:space="preserve"> =</w:t>
      </w:r>
      <w:r>
        <w:rPr>
          <w:rStyle w:val="NormalTok"/>
        </w:rPr>
        <w:t xml:space="preserve"> </w:t>
      </w:r>
      <w:proofErr w:type="spellStart"/>
      <w:r>
        <w:rPr>
          <w:rStyle w:val="NormalTok"/>
        </w:rPr>
        <w:t>fmp_uci</w:t>
      </w:r>
      <w:proofErr w:type="spellEnd"/>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col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fmp_rpn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fmp_rpn</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proofErr w:type="spellStart"/>
      <w:r>
        <w:rPr>
          <w:rStyle w:val="NormalTok"/>
        </w:rPr>
        <w:t>fmp_sub_area</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'RPN'</w:t>
      </w:r>
      <w:r>
        <w:rPr>
          <w:rStyle w:val="NormalTok"/>
        </w:rPr>
        <w:t>)</w:t>
      </w:r>
    </w:p>
    <w:p w14:paraId="5CC5AEB5" w14:textId="215F1FE0" w:rsidR="004B0207" w:rsidRDefault="004B0207" w:rsidP="004B0207">
      <w:pPr>
        <w:pStyle w:val="FirstParagraph"/>
      </w:pPr>
      <w:r>
        <w:rPr>
          <w:noProof/>
        </w:rPr>
        <w:drawing>
          <wp:inline distT="0" distB="0" distL="0" distR="0" wp14:anchorId="2006C0DF" wp14:editId="40DAB504">
            <wp:extent cx="46196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bookmarkEnd w:id="2"/>
    <w:p w14:paraId="79D302AC" w14:textId="64B6ACA8" w:rsidR="0019601E" w:rsidRPr="0019601E" w:rsidRDefault="004B0207" w:rsidP="0019601E">
      <w:pPr>
        <w:pStyle w:val="Heading2"/>
      </w:pPr>
      <w:r>
        <w:t>Plot the number of total sets and sets with positive catch for spiny dogfish by depth strata</w:t>
      </w:r>
      <w:r w:rsidR="0019601E">
        <w:t xml:space="preserve"> in order to evaluate changes in sampling effort over time</w:t>
      </w:r>
    </w:p>
    <w:p w14:paraId="06AE9954" w14:textId="77777777" w:rsidR="004B0207" w:rsidRDefault="004B0207" w:rsidP="004B0207">
      <w:pPr>
        <w:pStyle w:val="SourceCode"/>
      </w:pPr>
      <w:proofErr w:type="spellStart"/>
      <w:r>
        <w:rPr>
          <w:rStyle w:val="NormalTok"/>
        </w:rPr>
        <w:t>nsum</w:t>
      </w:r>
      <w:proofErr w:type="spellEnd"/>
      <w:r>
        <w:rPr>
          <w:rStyle w:val="NormalTok"/>
        </w:rPr>
        <w:t xml:space="preserve"> </w:t>
      </w:r>
      <w:r>
        <w:rPr>
          <w:rStyle w:val="OtherTok"/>
        </w:rPr>
        <w:t>&lt;-</w:t>
      </w:r>
      <w:r>
        <w:rPr>
          <w:rStyle w:val="NormalTok"/>
        </w:rPr>
        <w:t xml:space="preserve"> dogfish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survey_year</w:t>
      </w:r>
      <w:proofErr w:type="spellEnd"/>
      <w:r>
        <w:rPr>
          <w:rStyle w:val="NormalTok"/>
        </w:rPr>
        <w:t xml:space="preserve">, </w:t>
      </w:r>
      <w:proofErr w:type="spellStart"/>
      <w:r>
        <w:rPr>
          <w:rStyle w:val="NormalTok"/>
        </w:rPr>
        <w:t>rpn_strata</w:t>
      </w:r>
      <w:proofErr w:type="spellEnd"/>
      <w:r>
        <w:rPr>
          <w:rStyle w:val="NormalTok"/>
        </w:rPr>
        <w:t>,</w:t>
      </w:r>
      <w:r>
        <w:br/>
      </w:r>
      <w:r>
        <w:rPr>
          <w:rStyle w:val="NormalTok"/>
        </w:rPr>
        <w:t xml:space="preserve">                </w:t>
      </w:r>
      <w:r>
        <w:rPr>
          <w:rStyle w:val="AttributeTok"/>
        </w:rPr>
        <w:t>total =</w:t>
      </w:r>
      <w:r>
        <w:rPr>
          <w:rStyle w:val="NormalTok"/>
        </w:rPr>
        <w:t xml:space="preserve"> </w:t>
      </w:r>
      <w:proofErr w:type="spellStart"/>
      <w:r>
        <w:rPr>
          <w:rStyle w:val="NormalTok"/>
        </w:rPr>
        <w:t>n_stations</w:t>
      </w:r>
      <w:proofErr w:type="spellEnd"/>
      <w:r>
        <w:rPr>
          <w:rStyle w:val="NormalTok"/>
        </w:rPr>
        <w:t xml:space="preserve">, </w:t>
      </w:r>
      <w:proofErr w:type="spellStart"/>
      <w:r>
        <w:rPr>
          <w:rStyle w:val="AttributeTok"/>
        </w:rPr>
        <w:t>pos_catch</w:t>
      </w:r>
      <w:proofErr w:type="spellEnd"/>
      <w:r>
        <w:rPr>
          <w:rStyle w:val="AttributeTok"/>
        </w:rPr>
        <w:t xml:space="preserve"> =</w:t>
      </w:r>
      <w:r>
        <w:rPr>
          <w:rStyle w:val="NormalTok"/>
        </w:rPr>
        <w:t xml:space="preserve"> </w:t>
      </w:r>
      <w:proofErr w:type="spellStart"/>
      <w:r>
        <w:rPr>
          <w:rStyle w:val="NormalTok"/>
        </w:rPr>
        <w:t>n_pos_catch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tidyr</w:t>
      </w:r>
      <w:proofErr w:type="spellEnd"/>
      <w:r>
        <w:rPr>
          <w:rStyle w:val="SpecialCharTok"/>
        </w:rPr>
        <w:t>::</w:t>
      </w:r>
      <w:proofErr w:type="spellStart"/>
      <w:r>
        <w:rPr>
          <w:rStyle w:val="FunctionTok"/>
        </w:rPr>
        <w:t>pivot_longer</w:t>
      </w:r>
      <w:proofErr w:type="spellEnd"/>
      <w:r>
        <w:rPr>
          <w:rStyle w:val="NormalTok"/>
        </w:rPr>
        <w:t>(</w:t>
      </w:r>
      <w:r>
        <w:rPr>
          <w:rStyle w:val="AttributeTok"/>
        </w:rPr>
        <w:t>cols =</w:t>
      </w:r>
      <w:r>
        <w:rPr>
          <w:rStyle w:val="NormalTok"/>
        </w:rPr>
        <w:t xml:space="preserve"> </w:t>
      </w:r>
      <w:r>
        <w:rPr>
          <w:rStyle w:val="FunctionTok"/>
        </w:rPr>
        <w:t>c</w:t>
      </w:r>
      <w:r>
        <w:rPr>
          <w:rStyle w:val="NormalTok"/>
        </w:rPr>
        <w:t>(</w:t>
      </w:r>
      <w:r>
        <w:rPr>
          <w:rStyle w:val="StringTok"/>
        </w:rPr>
        <w:t>'total'</w:t>
      </w:r>
      <w:r>
        <w:rPr>
          <w:rStyle w:val="NormalTok"/>
        </w:rPr>
        <w:t xml:space="preserve">, </w:t>
      </w:r>
      <w:r>
        <w:rPr>
          <w:rStyle w:val="StringTok"/>
        </w:rPr>
        <w:t>'</w:t>
      </w:r>
      <w:proofErr w:type="spellStart"/>
      <w:r>
        <w:rPr>
          <w:rStyle w:val="StringTok"/>
        </w:rPr>
        <w:t>pos_catch</w:t>
      </w:r>
      <w:proofErr w:type="spellEnd"/>
      <w:r>
        <w:rPr>
          <w:rStyle w:val="StringTok"/>
        </w:rPr>
        <w:t>'</w:t>
      </w:r>
      <w:r>
        <w:rPr>
          <w:rStyle w:val="NormalTok"/>
        </w:rPr>
        <w:t>))</w:t>
      </w:r>
      <w:r>
        <w:br/>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nsum</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survey_year</w:t>
      </w:r>
      <w:proofErr w:type="spellEnd"/>
      <w:r>
        <w:rPr>
          <w:rStyle w:val="NormalTok"/>
        </w:rPr>
        <w:t xml:space="preserve">, </w:t>
      </w:r>
      <w:r>
        <w:rPr>
          <w:rStyle w:val="AttributeTok"/>
        </w:rPr>
        <w:t>y =</w:t>
      </w:r>
      <w:r>
        <w:rPr>
          <w:rStyle w:val="NormalTok"/>
        </w:rPr>
        <w:t xml:space="preserve"> value, </w:t>
      </w:r>
      <w:proofErr w:type="spellStart"/>
      <w:r>
        <w:rPr>
          <w:rStyle w:val="AttributeTok"/>
        </w:rPr>
        <w:t>lty</w:t>
      </w:r>
      <w:proofErr w:type="spellEnd"/>
      <w:r>
        <w:rPr>
          <w:rStyle w:val="AttributeTok"/>
        </w:rPr>
        <w:t xml:space="preserve"> =</w:t>
      </w:r>
      <w:r>
        <w:rPr>
          <w:rStyle w:val="NormalTok"/>
        </w:rPr>
        <w:t xml:space="preserve"> name, </w:t>
      </w:r>
      <w:r>
        <w:rPr>
          <w:rStyle w:val="AttributeTok"/>
        </w:rPr>
        <w:t>shape =</w:t>
      </w:r>
      <w:r>
        <w:rPr>
          <w:rStyle w:val="NormalTok"/>
        </w:rPr>
        <w:t xml:space="preserve"> name))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proofErr w:type="spellStart"/>
      <w:r>
        <w:rPr>
          <w:rStyle w:val="NormalTok"/>
        </w:rPr>
        <w:t>rpn_strata</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'Number of sets'</w:t>
      </w:r>
      <w:r>
        <w:rPr>
          <w:rStyle w:val="NormalTok"/>
        </w:rPr>
        <w:t>)</w:t>
      </w:r>
    </w:p>
    <w:p w14:paraId="3FC4F178" w14:textId="77777777" w:rsidR="004B0207" w:rsidRDefault="004B0207" w:rsidP="00640AA5"/>
    <w:p w14:paraId="48AE1F41" w14:textId="7A8AF8B9" w:rsidR="001F2739" w:rsidRDefault="0019601E" w:rsidP="00640AA5">
      <w:r>
        <w:rPr>
          <w:noProof/>
        </w:rPr>
        <w:drawing>
          <wp:inline distT="0" distB="0" distL="0" distR="0" wp14:anchorId="4074C0A0" wp14:editId="3024620B">
            <wp:extent cx="5943600" cy="547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73700"/>
                    </a:xfrm>
                    <a:prstGeom prst="rect">
                      <a:avLst/>
                    </a:prstGeom>
                  </pic:spPr>
                </pic:pic>
              </a:graphicData>
            </a:graphic>
          </wp:inline>
        </w:drawing>
      </w:r>
    </w:p>
    <w:p w14:paraId="3C6227D8" w14:textId="77777777" w:rsidR="00226B07" w:rsidRDefault="00226B07" w:rsidP="004B0207">
      <w:pPr>
        <w:pStyle w:val="Heading1"/>
      </w:pPr>
      <w:r>
        <w:t>References</w:t>
      </w:r>
    </w:p>
    <w:p w14:paraId="1C9F67E2" w14:textId="77777777" w:rsidR="00226B07" w:rsidRDefault="00226B07" w:rsidP="002E67FC"/>
    <w:p w14:paraId="2A60F77C" w14:textId="70C41E2E" w:rsidR="00DF54AD" w:rsidRDefault="00DF54AD" w:rsidP="002E67FC">
      <w:r>
        <w:t>Canty</w:t>
      </w:r>
      <w:r w:rsidR="00691E33">
        <w:t>, A.</w:t>
      </w:r>
      <w:r>
        <w:t xml:space="preserve"> and B</w:t>
      </w:r>
      <w:r w:rsidR="00691E33">
        <w:t>.</w:t>
      </w:r>
      <w:r>
        <w:t xml:space="preserve"> Ripley. 2021</w:t>
      </w:r>
      <w:r w:rsidRPr="00DF54AD">
        <w:t>. boot: Bootstrap R (S-Plus) Functions. R package version 1.3-27.</w:t>
      </w:r>
    </w:p>
    <w:p w14:paraId="6503143B" w14:textId="77777777" w:rsidR="00DF54AD" w:rsidRDefault="00DF54AD" w:rsidP="002E67FC"/>
    <w:p w14:paraId="422C0083" w14:textId="20A268E2" w:rsidR="00DF54AD" w:rsidRDefault="00DF54AD" w:rsidP="002E67FC">
      <w:r w:rsidRPr="00DF54AD">
        <w:t>Davi</w:t>
      </w:r>
      <w:r w:rsidR="00691E33">
        <w:t xml:space="preserve">son, A. C. and D. V. </w:t>
      </w:r>
      <w:r>
        <w:t xml:space="preserve">Hinkley. </w:t>
      </w:r>
      <w:r w:rsidRPr="00DF54AD">
        <w:t>1997</w:t>
      </w:r>
      <w:r>
        <w:t>.</w:t>
      </w:r>
      <w:r w:rsidRPr="00DF54AD">
        <w:t xml:space="preserve"> Bootstrap Methods and Their Applications. Cambridge University Press, Cambridge. ISBN 0-521-57391-2</w:t>
      </w:r>
      <w:r>
        <w:t>.</w:t>
      </w:r>
    </w:p>
    <w:p w14:paraId="2D1C7CB4" w14:textId="77777777" w:rsidR="00226B07" w:rsidRDefault="00226B07" w:rsidP="002E67FC"/>
    <w:p w14:paraId="07E71A81" w14:textId="2E9EE1D6" w:rsidR="00691E33" w:rsidRDefault="0099343B" w:rsidP="0099343B">
      <w:proofErr w:type="spellStart"/>
      <w:r w:rsidRPr="0099343B">
        <w:t>Echave</w:t>
      </w:r>
      <w:proofErr w:type="spellEnd"/>
      <w:r w:rsidRPr="0099343B">
        <w:t xml:space="preserve">, K., C. </w:t>
      </w:r>
      <w:proofErr w:type="spellStart"/>
      <w:r w:rsidRPr="0099343B">
        <w:t>Rodgveller</w:t>
      </w:r>
      <w:proofErr w:type="spellEnd"/>
      <w:r w:rsidRPr="0099343B">
        <w:t>, and S. K. Shotwell. 2013. Calculation of the geographic sizes used to create</w:t>
      </w:r>
      <w:r>
        <w:t xml:space="preserve"> </w:t>
      </w:r>
      <w:r w:rsidRPr="0099343B">
        <w:t xml:space="preserve">population indices for the Alaska Fisheries Science Center longline survey. U.S. Dep. </w:t>
      </w:r>
      <w:proofErr w:type="spellStart"/>
      <w:r w:rsidRPr="0099343B">
        <w:t>Commer</w:t>
      </w:r>
      <w:proofErr w:type="spellEnd"/>
      <w:r w:rsidRPr="0099343B">
        <w:t>.,</w:t>
      </w:r>
      <w:r>
        <w:t xml:space="preserve"> </w:t>
      </w:r>
      <w:r w:rsidRPr="0099343B">
        <w:t>NOAA Tech. Memo. NMFS-AFSC-253, 93 p.</w:t>
      </w:r>
    </w:p>
    <w:p w14:paraId="204AA92F" w14:textId="77777777" w:rsidR="00691E33" w:rsidRDefault="00691E33" w:rsidP="0099343B"/>
    <w:p w14:paraId="597C676B" w14:textId="091B5EBE" w:rsidR="00226B07" w:rsidRDefault="00DF54AD" w:rsidP="004B0207">
      <w:r w:rsidRPr="00226B07">
        <w:t xml:space="preserve">R Core Team (2021). R: A language and environment for statistical computing. R Foundation for Statistical Computing, Vienna, Austria. </w:t>
      </w:r>
      <w:hyperlink r:id="rId15" w:history="1">
        <w:r w:rsidRPr="00A858E5">
          <w:rPr>
            <w:rStyle w:val="Hyperlink"/>
          </w:rPr>
          <w:t>https://www.R-project.org/</w:t>
        </w:r>
      </w:hyperlink>
      <w:r w:rsidRPr="00226B07">
        <w:t>.</w:t>
      </w:r>
    </w:p>
    <w:p w14:paraId="7A0E5BB6" w14:textId="13E15A45" w:rsidR="003548CB" w:rsidRDefault="003548CB" w:rsidP="004B0207"/>
    <w:p w14:paraId="4750B400" w14:textId="74FB80F2" w:rsidR="003548CB" w:rsidRDefault="003548CB" w:rsidP="003548CB">
      <w:pPr>
        <w:pStyle w:val="Heading1"/>
      </w:pPr>
      <w:r w:rsidRPr="003548CB">
        <w:t>Helpful links for IPHC survey design and history:</w:t>
      </w:r>
    </w:p>
    <w:p w14:paraId="6F8ECA08" w14:textId="77777777" w:rsidR="003548CB" w:rsidRPr="003548CB" w:rsidRDefault="003548CB" w:rsidP="003548CB"/>
    <w:p w14:paraId="3880D4AE" w14:textId="53E99A81" w:rsidR="003548CB" w:rsidRDefault="00F35A78" w:rsidP="003548CB">
      <w:hyperlink r:id="rId16" w:history="1">
        <w:r w:rsidR="003548CB" w:rsidRPr="003629A7">
          <w:rPr>
            <w:rStyle w:val="Hyperlink"/>
          </w:rPr>
          <w:t>https://iphc.int/management/science-and-research/fishery-independent-setline-survey-fiss</w:t>
        </w:r>
      </w:hyperlink>
    </w:p>
    <w:p w14:paraId="43D91B9B" w14:textId="77777777" w:rsidR="003548CB" w:rsidRDefault="003548CB" w:rsidP="003548CB"/>
    <w:p w14:paraId="2A2CB561" w14:textId="1A0F7179" w:rsidR="003548CB" w:rsidRPr="003548CB" w:rsidRDefault="00F35A78" w:rsidP="003548CB">
      <w:hyperlink r:id="rId17" w:history="1">
        <w:r w:rsidR="003548CB" w:rsidRPr="003629A7">
          <w:rPr>
            <w:rStyle w:val="Hyperlink"/>
          </w:rPr>
          <w:t>https://iphc.int/uploads/pdf/tr/IPHC-2012-TR058.pdf</w:t>
        </w:r>
      </w:hyperlink>
      <w:r w:rsidR="003548CB">
        <w:t xml:space="preserve"> </w:t>
      </w:r>
    </w:p>
    <w:sectPr w:rsidR="003548CB" w:rsidRPr="0035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65801"/>
    <w:multiLevelType w:val="multilevel"/>
    <w:tmpl w:val="D80E4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104E1"/>
    <w:multiLevelType w:val="hybridMultilevel"/>
    <w:tmpl w:val="49E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30FFD"/>
    <w:multiLevelType w:val="hybridMultilevel"/>
    <w:tmpl w:val="F5FEC9D8"/>
    <w:lvl w:ilvl="0" w:tplc="46CC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E0E6C"/>
    <w:multiLevelType w:val="hybridMultilevel"/>
    <w:tmpl w:val="DAE0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46B37"/>
    <w:multiLevelType w:val="hybridMultilevel"/>
    <w:tmpl w:val="F904C8BC"/>
    <w:lvl w:ilvl="0" w:tplc="946466C4">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A120B"/>
    <w:multiLevelType w:val="multilevel"/>
    <w:tmpl w:val="BB0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460347">
    <w:abstractNumId w:val="5"/>
  </w:num>
  <w:num w:numId="2" w16cid:durableId="215514401">
    <w:abstractNumId w:val="2"/>
  </w:num>
  <w:num w:numId="3" w16cid:durableId="743140455">
    <w:abstractNumId w:val="1"/>
  </w:num>
  <w:num w:numId="4" w16cid:durableId="18632400">
    <w:abstractNumId w:val="0"/>
  </w:num>
  <w:num w:numId="5" w16cid:durableId="1354914497">
    <w:abstractNumId w:val="4"/>
  </w:num>
  <w:num w:numId="6" w16cid:durableId="1311210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23F"/>
    <w:rsid w:val="00006592"/>
    <w:rsid w:val="00007E86"/>
    <w:rsid w:val="00013487"/>
    <w:rsid w:val="00021C26"/>
    <w:rsid w:val="000467C9"/>
    <w:rsid w:val="0005093D"/>
    <w:rsid w:val="00053745"/>
    <w:rsid w:val="00057106"/>
    <w:rsid w:val="00082315"/>
    <w:rsid w:val="000A13AD"/>
    <w:rsid w:val="000D5E05"/>
    <w:rsid w:val="000D6E89"/>
    <w:rsid w:val="000E5366"/>
    <w:rsid w:val="00126072"/>
    <w:rsid w:val="00127526"/>
    <w:rsid w:val="001360CB"/>
    <w:rsid w:val="00143A7F"/>
    <w:rsid w:val="0014673D"/>
    <w:rsid w:val="0015007F"/>
    <w:rsid w:val="00176DC2"/>
    <w:rsid w:val="0019601E"/>
    <w:rsid w:val="001D1025"/>
    <w:rsid w:val="001D204B"/>
    <w:rsid w:val="001D3167"/>
    <w:rsid w:val="001F2739"/>
    <w:rsid w:val="00226B07"/>
    <w:rsid w:val="00276DA0"/>
    <w:rsid w:val="00297C29"/>
    <w:rsid w:val="002C1BCE"/>
    <w:rsid w:val="002C4CD8"/>
    <w:rsid w:val="002D754A"/>
    <w:rsid w:val="002E67FC"/>
    <w:rsid w:val="002F2189"/>
    <w:rsid w:val="00307433"/>
    <w:rsid w:val="00325503"/>
    <w:rsid w:val="003259CA"/>
    <w:rsid w:val="00337DFB"/>
    <w:rsid w:val="0035092D"/>
    <w:rsid w:val="003548CB"/>
    <w:rsid w:val="00371C87"/>
    <w:rsid w:val="003A5D38"/>
    <w:rsid w:val="003D0BE6"/>
    <w:rsid w:val="00457F12"/>
    <w:rsid w:val="00484E7B"/>
    <w:rsid w:val="004B0207"/>
    <w:rsid w:val="004B2FA4"/>
    <w:rsid w:val="004D7BE9"/>
    <w:rsid w:val="004F2C26"/>
    <w:rsid w:val="00512863"/>
    <w:rsid w:val="00532F5D"/>
    <w:rsid w:val="00575422"/>
    <w:rsid w:val="00577D8A"/>
    <w:rsid w:val="005A3B40"/>
    <w:rsid w:val="005C223F"/>
    <w:rsid w:val="00617F49"/>
    <w:rsid w:val="00631022"/>
    <w:rsid w:val="006343AB"/>
    <w:rsid w:val="00640AA5"/>
    <w:rsid w:val="00656823"/>
    <w:rsid w:val="00667906"/>
    <w:rsid w:val="006825CF"/>
    <w:rsid w:val="00691E33"/>
    <w:rsid w:val="006F480A"/>
    <w:rsid w:val="00702B2B"/>
    <w:rsid w:val="00715EE0"/>
    <w:rsid w:val="007234B7"/>
    <w:rsid w:val="00763BE6"/>
    <w:rsid w:val="00772C61"/>
    <w:rsid w:val="007907E5"/>
    <w:rsid w:val="0081156A"/>
    <w:rsid w:val="00851428"/>
    <w:rsid w:val="008A199A"/>
    <w:rsid w:val="008F6D5F"/>
    <w:rsid w:val="00922954"/>
    <w:rsid w:val="009741D6"/>
    <w:rsid w:val="00974572"/>
    <w:rsid w:val="009819E6"/>
    <w:rsid w:val="0099343B"/>
    <w:rsid w:val="00994154"/>
    <w:rsid w:val="009C5F4B"/>
    <w:rsid w:val="00A03E19"/>
    <w:rsid w:val="00A14BBB"/>
    <w:rsid w:val="00A51725"/>
    <w:rsid w:val="00A63A55"/>
    <w:rsid w:val="00B20DB3"/>
    <w:rsid w:val="00B416FC"/>
    <w:rsid w:val="00B55250"/>
    <w:rsid w:val="00BD252F"/>
    <w:rsid w:val="00BD6D78"/>
    <w:rsid w:val="00C23FA3"/>
    <w:rsid w:val="00C45417"/>
    <w:rsid w:val="00C6224D"/>
    <w:rsid w:val="00C66D78"/>
    <w:rsid w:val="00C672F4"/>
    <w:rsid w:val="00C96DEA"/>
    <w:rsid w:val="00CA1387"/>
    <w:rsid w:val="00CF1C0E"/>
    <w:rsid w:val="00CF6A08"/>
    <w:rsid w:val="00D30C90"/>
    <w:rsid w:val="00D40E40"/>
    <w:rsid w:val="00D466B1"/>
    <w:rsid w:val="00D54C45"/>
    <w:rsid w:val="00D575AE"/>
    <w:rsid w:val="00D6459A"/>
    <w:rsid w:val="00D810BE"/>
    <w:rsid w:val="00D950B4"/>
    <w:rsid w:val="00DC7E7D"/>
    <w:rsid w:val="00DF54AD"/>
    <w:rsid w:val="00DF74C7"/>
    <w:rsid w:val="00E057FF"/>
    <w:rsid w:val="00E21D3E"/>
    <w:rsid w:val="00E4458D"/>
    <w:rsid w:val="00E65349"/>
    <w:rsid w:val="00E71AA3"/>
    <w:rsid w:val="00EA73DB"/>
    <w:rsid w:val="00F0218D"/>
    <w:rsid w:val="00F21ADA"/>
    <w:rsid w:val="00F361B0"/>
    <w:rsid w:val="00F45035"/>
    <w:rsid w:val="00FC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0A3C"/>
  <w15:chartTrackingRefBased/>
  <w15:docId w15:val="{94954D36-8A59-4554-BCA7-95320F2C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7FC"/>
    <w:pPr>
      <w:spacing w:after="0" w:line="240" w:lineRule="auto"/>
    </w:pPr>
    <w:rPr>
      <w:rFonts w:ascii="Arial" w:eastAsia="Times New Roman" w:hAnsi="Arial" w:cs="Arial"/>
      <w:color w:val="000000"/>
    </w:rPr>
  </w:style>
  <w:style w:type="paragraph" w:styleId="Heading1">
    <w:name w:val="heading 1"/>
    <w:basedOn w:val="Normal"/>
    <w:next w:val="Normal"/>
    <w:link w:val="Heading1Char"/>
    <w:uiPriority w:val="9"/>
    <w:qFormat/>
    <w:rsid w:val="004B020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4B0207"/>
    <w:pPr>
      <w:keepNext/>
      <w:keepLines/>
      <w:spacing w:before="200"/>
      <w:outlineLvl w:val="1"/>
    </w:pPr>
    <w:rPr>
      <w:rFonts w:asciiTheme="majorHAnsi" w:eastAsiaTheme="majorEastAsia" w:hAnsiTheme="majorHAnsi" w:cstheme="majorBidi"/>
      <w:b/>
      <w:bCs/>
      <w:color w:val="5B9BD5" w:themeColor="accent1"/>
      <w:sz w:val="28"/>
      <w:szCs w:val="28"/>
    </w:rPr>
  </w:style>
  <w:style w:type="paragraph" w:styleId="Heading3">
    <w:name w:val="heading 3"/>
    <w:basedOn w:val="Normal"/>
    <w:next w:val="Normal"/>
    <w:link w:val="Heading3Char"/>
    <w:uiPriority w:val="9"/>
    <w:unhideWhenUsed/>
    <w:qFormat/>
    <w:rsid w:val="003548C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23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E057FF"/>
    <w:pPr>
      <w:ind w:left="720"/>
      <w:contextualSpacing/>
    </w:pPr>
  </w:style>
  <w:style w:type="character" w:styleId="PlaceholderText">
    <w:name w:val="Placeholder Text"/>
    <w:basedOn w:val="DefaultParagraphFont"/>
    <w:uiPriority w:val="99"/>
    <w:semiHidden/>
    <w:rsid w:val="00006592"/>
    <w:rPr>
      <w:color w:val="808080"/>
    </w:rPr>
  </w:style>
  <w:style w:type="paragraph" w:customStyle="1" w:styleId="Equations">
    <w:name w:val="Equations"/>
    <w:basedOn w:val="Normal"/>
    <w:link w:val="EquationsChar"/>
    <w:qFormat/>
    <w:rsid w:val="007234B7"/>
    <w:pPr>
      <w:spacing w:before="240" w:after="240"/>
      <w:jc w:val="center"/>
    </w:pPr>
    <w:rPr>
      <w:rFonts w:ascii="Cambria Math" w:hAnsi="Cambria Math"/>
      <w:i/>
    </w:rPr>
  </w:style>
  <w:style w:type="character" w:styleId="Hyperlink">
    <w:name w:val="Hyperlink"/>
    <w:basedOn w:val="DefaultParagraphFont"/>
    <w:uiPriority w:val="99"/>
    <w:unhideWhenUsed/>
    <w:rsid w:val="00226B07"/>
    <w:rPr>
      <w:color w:val="0563C1" w:themeColor="hyperlink"/>
      <w:u w:val="single"/>
    </w:rPr>
  </w:style>
  <w:style w:type="character" w:customStyle="1" w:styleId="EquationsChar">
    <w:name w:val="Equations Char"/>
    <w:basedOn w:val="DefaultParagraphFont"/>
    <w:link w:val="Equations"/>
    <w:rsid w:val="007234B7"/>
    <w:rPr>
      <w:rFonts w:ascii="Cambria Math" w:eastAsia="Times New Roman" w:hAnsi="Cambria Math" w:cs="Arial"/>
      <w:i/>
      <w:color w:val="000000"/>
    </w:rPr>
  </w:style>
  <w:style w:type="character" w:styleId="CommentReference">
    <w:name w:val="annotation reference"/>
    <w:basedOn w:val="DefaultParagraphFont"/>
    <w:uiPriority w:val="99"/>
    <w:semiHidden/>
    <w:unhideWhenUsed/>
    <w:rsid w:val="003A5D38"/>
    <w:rPr>
      <w:sz w:val="16"/>
      <w:szCs w:val="16"/>
    </w:rPr>
  </w:style>
  <w:style w:type="paragraph" w:styleId="CommentText">
    <w:name w:val="annotation text"/>
    <w:basedOn w:val="Normal"/>
    <w:link w:val="CommentTextChar"/>
    <w:uiPriority w:val="99"/>
    <w:semiHidden/>
    <w:unhideWhenUsed/>
    <w:rsid w:val="003A5D38"/>
    <w:rPr>
      <w:sz w:val="20"/>
      <w:szCs w:val="20"/>
    </w:rPr>
  </w:style>
  <w:style w:type="character" w:customStyle="1" w:styleId="CommentTextChar">
    <w:name w:val="Comment Text Char"/>
    <w:basedOn w:val="DefaultParagraphFont"/>
    <w:link w:val="CommentText"/>
    <w:uiPriority w:val="99"/>
    <w:semiHidden/>
    <w:rsid w:val="003A5D38"/>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3A5D38"/>
    <w:rPr>
      <w:b/>
      <w:bCs/>
    </w:rPr>
  </w:style>
  <w:style w:type="character" w:customStyle="1" w:styleId="CommentSubjectChar">
    <w:name w:val="Comment Subject Char"/>
    <w:basedOn w:val="CommentTextChar"/>
    <w:link w:val="CommentSubject"/>
    <w:uiPriority w:val="99"/>
    <w:semiHidden/>
    <w:rsid w:val="003A5D38"/>
    <w:rPr>
      <w:rFonts w:ascii="Arial" w:eastAsia="Times New Roman" w:hAnsi="Arial" w:cs="Arial"/>
      <w:b/>
      <w:bCs/>
      <w:color w:val="000000"/>
      <w:sz w:val="20"/>
      <w:szCs w:val="20"/>
    </w:rPr>
  </w:style>
  <w:style w:type="paragraph" w:styleId="BalloonText">
    <w:name w:val="Balloon Text"/>
    <w:basedOn w:val="Normal"/>
    <w:link w:val="BalloonTextChar"/>
    <w:uiPriority w:val="99"/>
    <w:semiHidden/>
    <w:unhideWhenUsed/>
    <w:rsid w:val="003A5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D38"/>
    <w:rPr>
      <w:rFonts w:ascii="Segoe UI" w:eastAsia="Times New Roman" w:hAnsi="Segoe UI" w:cs="Segoe UI"/>
      <w:color w:val="000000"/>
      <w:sz w:val="18"/>
      <w:szCs w:val="18"/>
    </w:rPr>
  </w:style>
  <w:style w:type="character" w:styleId="FollowedHyperlink">
    <w:name w:val="FollowedHyperlink"/>
    <w:basedOn w:val="DefaultParagraphFont"/>
    <w:uiPriority w:val="99"/>
    <w:semiHidden/>
    <w:unhideWhenUsed/>
    <w:rsid w:val="00575422"/>
    <w:rPr>
      <w:color w:val="954F72" w:themeColor="followedHyperlink"/>
      <w:u w:val="single"/>
    </w:rPr>
  </w:style>
  <w:style w:type="character" w:customStyle="1" w:styleId="Heading2Char">
    <w:name w:val="Heading 2 Char"/>
    <w:basedOn w:val="DefaultParagraphFont"/>
    <w:link w:val="Heading2"/>
    <w:uiPriority w:val="9"/>
    <w:rsid w:val="004B0207"/>
    <w:rPr>
      <w:rFonts w:asciiTheme="majorHAnsi" w:eastAsiaTheme="majorEastAsia" w:hAnsiTheme="majorHAnsi" w:cstheme="majorBidi"/>
      <w:b/>
      <w:bCs/>
      <w:color w:val="5B9BD5" w:themeColor="accent1"/>
      <w:sz w:val="28"/>
      <w:szCs w:val="28"/>
    </w:rPr>
  </w:style>
  <w:style w:type="paragraph" w:customStyle="1" w:styleId="FirstParagraph">
    <w:name w:val="First Paragraph"/>
    <w:basedOn w:val="BodyText"/>
    <w:next w:val="BodyText"/>
    <w:qFormat/>
    <w:rsid w:val="004B0207"/>
    <w:pPr>
      <w:spacing w:before="180" w:after="180"/>
    </w:pPr>
    <w:rPr>
      <w:rFonts w:asciiTheme="minorHAnsi" w:eastAsiaTheme="minorHAnsi" w:hAnsiTheme="minorHAnsi" w:cstheme="minorBidi"/>
      <w:color w:val="auto"/>
      <w:sz w:val="24"/>
      <w:szCs w:val="24"/>
    </w:rPr>
  </w:style>
  <w:style w:type="character" w:customStyle="1" w:styleId="VerbatimChar">
    <w:name w:val="Verbatim Char"/>
    <w:basedOn w:val="DefaultParagraphFont"/>
    <w:link w:val="SourceCode"/>
    <w:locked/>
    <w:rsid w:val="004B0207"/>
    <w:rPr>
      <w:rFonts w:ascii="Consolas" w:hAnsi="Consolas"/>
      <w:shd w:val="clear" w:color="auto" w:fill="F8F8F8"/>
    </w:rPr>
  </w:style>
  <w:style w:type="paragraph" w:customStyle="1" w:styleId="SourceCode">
    <w:name w:val="Source Code"/>
    <w:basedOn w:val="Normal"/>
    <w:link w:val="VerbatimChar"/>
    <w:rsid w:val="004B0207"/>
    <w:pPr>
      <w:shd w:val="clear" w:color="auto" w:fill="F8F8F8"/>
      <w:wordWrap w:val="0"/>
      <w:spacing w:after="200"/>
    </w:pPr>
    <w:rPr>
      <w:rFonts w:ascii="Consolas" w:eastAsiaTheme="minorHAnsi" w:hAnsi="Consolas" w:cstheme="minorBidi"/>
      <w:color w:val="auto"/>
    </w:rPr>
  </w:style>
  <w:style w:type="character" w:customStyle="1" w:styleId="DecValTok">
    <w:name w:val="DecValTok"/>
    <w:basedOn w:val="VerbatimChar"/>
    <w:rsid w:val="004B0207"/>
    <w:rPr>
      <w:rFonts w:ascii="Consolas" w:hAnsi="Consolas"/>
      <w:color w:val="0000CF"/>
      <w:shd w:val="clear" w:color="auto" w:fill="F8F8F8"/>
    </w:rPr>
  </w:style>
  <w:style w:type="character" w:customStyle="1" w:styleId="FloatTok">
    <w:name w:val="FloatTok"/>
    <w:basedOn w:val="VerbatimChar"/>
    <w:rsid w:val="004B0207"/>
    <w:rPr>
      <w:rFonts w:ascii="Consolas" w:hAnsi="Consolas"/>
      <w:color w:val="0000CF"/>
      <w:shd w:val="clear" w:color="auto" w:fill="F8F8F8"/>
    </w:rPr>
  </w:style>
  <w:style w:type="character" w:customStyle="1" w:styleId="ConstantTok">
    <w:name w:val="ConstantTok"/>
    <w:basedOn w:val="VerbatimChar"/>
    <w:rsid w:val="004B0207"/>
    <w:rPr>
      <w:rFonts w:ascii="Consolas" w:hAnsi="Consolas"/>
      <w:color w:val="000000"/>
      <w:shd w:val="clear" w:color="auto" w:fill="F8F8F8"/>
    </w:rPr>
  </w:style>
  <w:style w:type="character" w:customStyle="1" w:styleId="SpecialCharTok">
    <w:name w:val="SpecialCharTok"/>
    <w:basedOn w:val="VerbatimChar"/>
    <w:rsid w:val="004B0207"/>
    <w:rPr>
      <w:rFonts w:ascii="Consolas" w:hAnsi="Consolas"/>
      <w:color w:val="000000"/>
      <w:shd w:val="clear" w:color="auto" w:fill="F8F8F8"/>
    </w:rPr>
  </w:style>
  <w:style w:type="character" w:customStyle="1" w:styleId="StringTok">
    <w:name w:val="StringTok"/>
    <w:basedOn w:val="VerbatimChar"/>
    <w:rsid w:val="004B0207"/>
    <w:rPr>
      <w:rFonts w:ascii="Consolas" w:hAnsi="Consolas"/>
      <w:color w:val="4E9A06"/>
      <w:shd w:val="clear" w:color="auto" w:fill="F8F8F8"/>
    </w:rPr>
  </w:style>
  <w:style w:type="character" w:customStyle="1" w:styleId="OtherTok">
    <w:name w:val="OtherTok"/>
    <w:basedOn w:val="VerbatimChar"/>
    <w:rsid w:val="004B0207"/>
    <w:rPr>
      <w:rFonts w:ascii="Consolas" w:hAnsi="Consolas"/>
      <w:color w:val="8F5902"/>
      <w:shd w:val="clear" w:color="auto" w:fill="F8F8F8"/>
    </w:rPr>
  </w:style>
  <w:style w:type="character" w:customStyle="1" w:styleId="FunctionTok">
    <w:name w:val="FunctionTok"/>
    <w:basedOn w:val="VerbatimChar"/>
    <w:rsid w:val="004B0207"/>
    <w:rPr>
      <w:rFonts w:ascii="Consolas" w:hAnsi="Consolas"/>
      <w:color w:val="000000"/>
      <w:shd w:val="clear" w:color="auto" w:fill="F8F8F8"/>
    </w:rPr>
  </w:style>
  <w:style w:type="character" w:customStyle="1" w:styleId="ControlFlowTok">
    <w:name w:val="ControlFlowTok"/>
    <w:basedOn w:val="VerbatimChar"/>
    <w:rsid w:val="004B0207"/>
    <w:rPr>
      <w:rFonts w:ascii="Consolas" w:hAnsi="Consolas"/>
      <w:b/>
      <w:bCs w:val="0"/>
      <w:color w:val="204A87"/>
      <w:shd w:val="clear" w:color="auto" w:fill="F8F8F8"/>
    </w:rPr>
  </w:style>
  <w:style w:type="character" w:customStyle="1" w:styleId="AttributeTok">
    <w:name w:val="AttributeTok"/>
    <w:basedOn w:val="VerbatimChar"/>
    <w:rsid w:val="004B0207"/>
    <w:rPr>
      <w:rFonts w:ascii="Consolas" w:hAnsi="Consolas"/>
      <w:color w:val="C4A000"/>
      <w:shd w:val="clear" w:color="auto" w:fill="F8F8F8"/>
    </w:rPr>
  </w:style>
  <w:style w:type="character" w:customStyle="1" w:styleId="NormalTok">
    <w:name w:val="NormalTok"/>
    <w:basedOn w:val="VerbatimChar"/>
    <w:rsid w:val="004B0207"/>
    <w:rPr>
      <w:rFonts w:ascii="Consolas" w:hAnsi="Consolas"/>
      <w:shd w:val="clear" w:color="auto" w:fill="F8F8F8"/>
    </w:rPr>
  </w:style>
  <w:style w:type="paragraph" w:styleId="BodyText">
    <w:name w:val="Body Text"/>
    <w:basedOn w:val="Normal"/>
    <w:link w:val="BodyTextChar"/>
    <w:uiPriority w:val="99"/>
    <w:semiHidden/>
    <w:unhideWhenUsed/>
    <w:rsid w:val="004B0207"/>
    <w:pPr>
      <w:spacing w:after="120"/>
    </w:pPr>
  </w:style>
  <w:style w:type="character" w:customStyle="1" w:styleId="BodyTextChar">
    <w:name w:val="Body Text Char"/>
    <w:basedOn w:val="DefaultParagraphFont"/>
    <w:link w:val="BodyText"/>
    <w:uiPriority w:val="99"/>
    <w:semiHidden/>
    <w:rsid w:val="004B0207"/>
    <w:rPr>
      <w:rFonts w:ascii="Arial" w:eastAsia="Times New Roman" w:hAnsi="Arial" w:cs="Arial"/>
      <w:color w:val="000000"/>
    </w:rPr>
  </w:style>
  <w:style w:type="character" w:customStyle="1" w:styleId="Heading1Char">
    <w:name w:val="Heading 1 Char"/>
    <w:basedOn w:val="DefaultParagraphFont"/>
    <w:link w:val="Heading1"/>
    <w:uiPriority w:val="9"/>
    <w:rsid w:val="004B020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B0207"/>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B020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548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2763">
      <w:bodyDiv w:val="1"/>
      <w:marLeft w:val="0"/>
      <w:marRight w:val="0"/>
      <w:marTop w:val="0"/>
      <w:marBottom w:val="0"/>
      <w:divBdr>
        <w:top w:val="none" w:sz="0" w:space="0" w:color="auto"/>
        <w:left w:val="none" w:sz="0" w:space="0" w:color="auto"/>
        <w:bottom w:val="none" w:sz="0" w:space="0" w:color="auto"/>
        <w:right w:val="none" w:sz="0" w:space="0" w:color="auto"/>
      </w:divBdr>
    </w:div>
    <w:div w:id="1583833082">
      <w:bodyDiv w:val="1"/>
      <w:marLeft w:val="0"/>
      <w:marRight w:val="0"/>
      <w:marTop w:val="0"/>
      <w:marBottom w:val="0"/>
      <w:divBdr>
        <w:top w:val="none" w:sz="0" w:space="0" w:color="auto"/>
        <w:left w:val="none" w:sz="0" w:space="0" w:color="auto"/>
        <w:bottom w:val="none" w:sz="0" w:space="0" w:color="auto"/>
        <w:right w:val="none" w:sz="0" w:space="0" w:color="auto"/>
      </w:divBdr>
    </w:div>
    <w:div w:id="204855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callahan@noaa.gov"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indy.tribuzio@noaa.gov" TargetMode="External"/><Relationship Id="rId12" Type="http://schemas.openxmlformats.org/officeDocument/2006/relationships/image" Target="media/image1.png"/><Relationship Id="rId17" Type="http://schemas.openxmlformats.org/officeDocument/2006/relationships/hyperlink" Target="https://iphc.int/uploads/pdf/tr/IPHC-2012-TR058.pdf" TargetMode="External"/><Relationship Id="rId2" Type="http://schemas.openxmlformats.org/officeDocument/2006/relationships/numbering" Target="numbering.xml"/><Relationship Id="rId16" Type="http://schemas.openxmlformats.org/officeDocument/2006/relationships/hyperlink" Target="https://iphc.int/management/science-and-research/fishery-independent-setline-survey-fiss" TargetMode="External"/><Relationship Id="rId1" Type="http://schemas.openxmlformats.org/officeDocument/2006/relationships/customXml" Target="../customXml/item1.xml"/><Relationship Id="rId6" Type="http://schemas.openxmlformats.org/officeDocument/2006/relationships/hyperlink" Target="mailto:jane.sullivan@noaa.gov" TargetMode="External"/><Relationship Id="rId11" Type="http://schemas.openxmlformats.org/officeDocument/2006/relationships/hyperlink" Target="https://www.iphc.int/uploads/pdf/am/am098/iphc-2022-am098-r.pdf" TargetMode="External"/><Relationship Id="rId5" Type="http://schemas.openxmlformats.org/officeDocument/2006/relationships/webSettings" Target="webSettings.xml"/><Relationship Id="rId15" Type="http://schemas.openxmlformats.org/officeDocument/2006/relationships/hyperlink" Target="https://www.R-project.org/" TargetMode="External"/><Relationship Id="rId10" Type="http://schemas.openxmlformats.org/officeDocument/2006/relationships/hyperlink" Target="https://github.com/JaneSullivan-NOAA/iphc-rp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phc.int/data/datatest/fishery-independent-setline-survey-fis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1DDF-F691-4D31-90C2-20B4B17F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1767</Words>
  <Characters>10074</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11818</CharactersWithSpaces>
  <SharedDoc>false</SharedDoc>
  <HLinks>
    <vt:vector size="54" baseType="variant">
      <vt:variant>
        <vt:i4>6881377</vt:i4>
      </vt:variant>
      <vt:variant>
        <vt:i4>24</vt:i4>
      </vt:variant>
      <vt:variant>
        <vt:i4>0</vt:i4>
      </vt:variant>
      <vt:variant>
        <vt:i4>5</vt:i4>
      </vt:variant>
      <vt:variant>
        <vt:lpwstr>https://iphc.int/uploads/pdf/tr/IPHC-2012-TR058.pdf</vt:lpwstr>
      </vt:variant>
      <vt:variant>
        <vt:lpwstr/>
      </vt:variant>
      <vt:variant>
        <vt:i4>1376336</vt:i4>
      </vt:variant>
      <vt:variant>
        <vt:i4>21</vt:i4>
      </vt:variant>
      <vt:variant>
        <vt:i4>0</vt:i4>
      </vt:variant>
      <vt:variant>
        <vt:i4>5</vt:i4>
      </vt:variant>
      <vt:variant>
        <vt:lpwstr>https://iphc.int/management/science-and-research/fishery-independent-setline-survey-fiss</vt:lpwstr>
      </vt:variant>
      <vt:variant>
        <vt:lpwstr/>
      </vt:variant>
      <vt:variant>
        <vt:i4>7143476</vt:i4>
      </vt:variant>
      <vt:variant>
        <vt:i4>18</vt:i4>
      </vt:variant>
      <vt:variant>
        <vt:i4>0</vt:i4>
      </vt:variant>
      <vt:variant>
        <vt:i4>5</vt:i4>
      </vt:variant>
      <vt:variant>
        <vt:lpwstr>https://www.r-project.org/</vt:lpwstr>
      </vt:variant>
      <vt:variant>
        <vt:lpwstr/>
      </vt:variant>
      <vt:variant>
        <vt:i4>6488176</vt:i4>
      </vt:variant>
      <vt:variant>
        <vt:i4>15</vt:i4>
      </vt:variant>
      <vt:variant>
        <vt:i4>0</vt:i4>
      </vt:variant>
      <vt:variant>
        <vt:i4>5</vt:i4>
      </vt:variant>
      <vt:variant>
        <vt:lpwstr>https://www.iphc.int/uploads/pdf/am/am098/iphc-2022-am098-r.pdf</vt:lpwstr>
      </vt:variant>
      <vt:variant>
        <vt:lpwstr/>
      </vt:variant>
      <vt:variant>
        <vt:i4>1048588</vt:i4>
      </vt:variant>
      <vt:variant>
        <vt:i4>12</vt:i4>
      </vt:variant>
      <vt:variant>
        <vt:i4>0</vt:i4>
      </vt:variant>
      <vt:variant>
        <vt:i4>5</vt:i4>
      </vt:variant>
      <vt:variant>
        <vt:lpwstr>https://github.com/JaneSullivan-NOAA/iphc-rpn</vt:lpwstr>
      </vt:variant>
      <vt:variant>
        <vt:lpwstr/>
      </vt:variant>
      <vt:variant>
        <vt:i4>6422564</vt:i4>
      </vt:variant>
      <vt:variant>
        <vt:i4>9</vt:i4>
      </vt:variant>
      <vt:variant>
        <vt:i4>0</vt:i4>
      </vt:variant>
      <vt:variant>
        <vt:i4>5</vt:i4>
      </vt:variant>
      <vt:variant>
        <vt:lpwstr>https://iphc.int/data/datatest/fishery-independent-setline-survey-fiss</vt:lpwstr>
      </vt:variant>
      <vt:variant>
        <vt:lpwstr/>
      </vt:variant>
      <vt:variant>
        <vt:i4>1048697</vt:i4>
      </vt:variant>
      <vt:variant>
        <vt:i4>6</vt:i4>
      </vt:variant>
      <vt:variant>
        <vt:i4>0</vt:i4>
      </vt:variant>
      <vt:variant>
        <vt:i4>5</vt:i4>
      </vt:variant>
      <vt:variant>
        <vt:lpwstr>mailto:matt.callahan@noaa.gov</vt:lpwstr>
      </vt:variant>
      <vt:variant>
        <vt:lpwstr/>
      </vt:variant>
      <vt:variant>
        <vt:i4>4718626</vt:i4>
      </vt:variant>
      <vt:variant>
        <vt:i4>3</vt:i4>
      </vt:variant>
      <vt:variant>
        <vt:i4>0</vt:i4>
      </vt:variant>
      <vt:variant>
        <vt:i4>5</vt:i4>
      </vt:variant>
      <vt:variant>
        <vt:lpwstr>mailto:cindy.tribuzio@noaa.gov</vt:lpwstr>
      </vt:variant>
      <vt:variant>
        <vt:lpwstr/>
      </vt:variant>
      <vt:variant>
        <vt:i4>458864</vt:i4>
      </vt:variant>
      <vt:variant>
        <vt:i4>0</vt:i4>
      </vt:variant>
      <vt:variant>
        <vt:i4>0</vt:i4>
      </vt:variant>
      <vt:variant>
        <vt:i4>5</vt:i4>
      </vt:variant>
      <vt:variant>
        <vt:lpwstr>mailto:jane.sullivan@noaa.gov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Jane.Sullivan</dc:creator>
  <cp:keywords/>
  <dc:description/>
  <cp:lastModifiedBy>Jane.Sullivan</cp:lastModifiedBy>
  <cp:revision>9</cp:revision>
  <dcterms:created xsi:type="dcterms:W3CDTF">2022-07-15T23:40:00Z</dcterms:created>
  <dcterms:modified xsi:type="dcterms:W3CDTF">2023-01-16T04:59:00Z</dcterms:modified>
</cp:coreProperties>
</file>