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2DB68" w14:textId="77777777" w:rsidR="00BB48E8" w:rsidRDefault="009C3A39" w:rsidP="009C3A39">
      <w:pPr>
        <w:pStyle w:val="Title"/>
        <w:rPr>
          <w:sz w:val="32"/>
          <w:szCs w:val="32"/>
          <w:lang w:val="en-BE"/>
        </w:rPr>
      </w:pPr>
      <w:r w:rsidRPr="009C3A39">
        <w:rPr>
          <w:sz w:val="32"/>
          <w:szCs w:val="32"/>
          <w:lang w:val="en-BE"/>
        </w:rPr>
        <w:t xml:space="preserve">Lecture Y-7: </w:t>
      </w:r>
      <w:r w:rsidR="00BF1B7B" w:rsidRPr="009C3A39">
        <w:rPr>
          <w:sz w:val="32"/>
          <w:szCs w:val="32"/>
          <w:lang w:val="en-BE"/>
        </w:rPr>
        <w:t>RealQM Study of H₃</w:t>
      </w:r>
      <w:r w:rsidR="00BF1B7B" w:rsidRPr="009C3A39">
        <w:rPr>
          <w:rFonts w:ascii="Cambria Math" w:hAnsi="Cambria Math" w:cs="Cambria Math"/>
          <w:sz w:val="32"/>
          <w:szCs w:val="32"/>
          <w:lang w:val="en-BE"/>
        </w:rPr>
        <w:t>⁺</w:t>
      </w:r>
    </w:p>
    <w:p w14:paraId="49A02B0B" w14:textId="0B5AAEDC" w:rsidR="00BF1B7B" w:rsidRPr="009C3A39" w:rsidRDefault="00BF1B7B" w:rsidP="009C3A39">
      <w:pPr>
        <w:pStyle w:val="Title"/>
        <w:rPr>
          <w:sz w:val="32"/>
          <w:szCs w:val="32"/>
          <w:lang w:val="en-BE"/>
        </w:rPr>
      </w:pPr>
      <w:r w:rsidRPr="009C3A39">
        <w:rPr>
          <w:sz w:val="32"/>
          <w:szCs w:val="32"/>
          <w:lang w:val="en-BE"/>
        </w:rPr>
        <w:t>A Natural Explanation for the Stability of a Triatomic Ionic Molecule</w:t>
      </w:r>
    </w:p>
    <w:p w14:paraId="20A01000" w14:textId="22215E25" w:rsidR="00BF1B7B" w:rsidRPr="00BF1B7B" w:rsidRDefault="009C3A39" w:rsidP="009C3A39">
      <w:pPr>
        <w:jc w:val="center"/>
        <w:rPr>
          <w:lang w:val="en-BE"/>
        </w:rPr>
      </w:pPr>
      <w:r>
        <w:rPr>
          <w:lang w:val="en-BE"/>
        </w:rPr>
        <w:t xml:space="preserve">Jean Louis Van Belle &amp; DeepSeek, 21 </w:t>
      </w:r>
      <w:r w:rsidR="00BF1B7B" w:rsidRPr="00BF1B7B">
        <w:rPr>
          <w:lang w:val="en-BE"/>
        </w:rPr>
        <w:t>August</w:t>
      </w:r>
      <w:r>
        <w:rPr>
          <w:lang w:val="en-BE"/>
        </w:rPr>
        <w:t xml:space="preserve"> </w:t>
      </w:r>
      <w:r w:rsidR="00BF1B7B" w:rsidRPr="00BF1B7B">
        <w:rPr>
          <w:lang w:val="en-BE"/>
        </w:rPr>
        <w:t>2026</w:t>
      </w:r>
    </w:p>
    <w:p w14:paraId="0F84DA8D" w14:textId="77777777" w:rsidR="00BF1B7B" w:rsidRPr="00BF1B7B" w:rsidRDefault="00BF1B7B" w:rsidP="009C3A39">
      <w:pPr>
        <w:pStyle w:val="Heading1"/>
        <w:rPr>
          <w:lang w:val="en-BE"/>
        </w:rPr>
      </w:pPr>
      <w:bookmarkStart w:id="0" w:name="_Toc238204638"/>
      <w:r w:rsidRPr="00BF1B7B">
        <w:rPr>
          <w:lang w:val="en-BE"/>
        </w:rPr>
        <w:t>Abstract</w:t>
      </w:r>
      <w:bookmarkEnd w:id="0"/>
    </w:p>
    <w:p w14:paraId="76C0FDA1" w14:textId="77777777" w:rsidR="00BF1B7B" w:rsidRDefault="00BF1B7B" w:rsidP="00BF1B7B">
      <w:pPr>
        <w:rPr>
          <w:lang w:val="en-BE"/>
        </w:rPr>
      </w:pPr>
      <w:r w:rsidRPr="00BF1B7B">
        <w:rPr>
          <w:lang w:val="en-BE"/>
        </w:rPr>
        <w:t>We present a real-space quantum mechanics (RealQM) study of the triatomic hydrogen molecular ion, H₃</w:t>
      </w:r>
      <w:r w:rsidRPr="00BF1B7B">
        <w:rPr>
          <w:rFonts w:ascii="Cambria Math" w:hAnsi="Cambria Math" w:cs="Cambria Math"/>
          <w:lang w:val="en-BE"/>
        </w:rPr>
        <w:t>⁺</w:t>
      </w:r>
      <w:r w:rsidRPr="00BF1B7B">
        <w:rPr>
          <w:lang w:val="en-BE"/>
        </w:rPr>
        <w:t>, in three distinct nuclear geometries: equilateral, isosceles, and linear. Using a grid-based real-space formulation with two explicitly separated electron density regions, we obtain converged total energies for each configuration without the need for basis-set expansions or Hartree</w:t>
      </w:r>
      <w:r w:rsidRPr="00BF1B7B">
        <w:rPr>
          <w:rFonts w:ascii="Aptos" w:hAnsi="Aptos" w:cs="Aptos"/>
          <w:lang w:val="en-BE"/>
        </w:rPr>
        <w:t>–</w:t>
      </w:r>
      <w:r w:rsidRPr="00BF1B7B">
        <w:rPr>
          <w:lang w:val="en-BE"/>
        </w:rPr>
        <w:t>Fock orbitals. The method naturally accommodates electron exchange through an overlap-free partitioning of the electron density, yielding energies that compare well with established quantum-chemical results. The computed energies are −1.8359, −1.9065, and −1.9435 Hartree for the equilateral, isosceles, and linear geometries, respectively, at fixed internuclear distances. The stability ordering is discussed in terms of the real-space electron density distribution and the effective electron–electron interaction. This work demonstrates that RealQM offers a computationally efficient and physically transparent route to describing small ionic molecules.</w:t>
      </w:r>
    </w:p>
    <w:sdt>
      <w:sdtPr>
        <w:rPr>
          <w:lang w:val="en-GB"/>
        </w:rPr>
        <w:id w:val="1012722123"/>
        <w:docPartObj>
          <w:docPartGallery w:val="Table of Contents"/>
          <w:docPartUnique/>
        </w:docPartObj>
      </w:sdtPr>
      <w:sdtEndPr>
        <w:rPr>
          <w:rFonts w:asciiTheme="minorHAnsi" w:eastAsiaTheme="minorHAnsi" w:hAnsiTheme="minorHAnsi" w:cstheme="minorBidi"/>
          <w:b/>
          <w:bCs/>
          <w:color w:val="auto"/>
          <w:kern w:val="2"/>
          <w:sz w:val="22"/>
          <w:szCs w:val="24"/>
          <w:lang w:eastAsia="en-US"/>
          <w14:ligatures w14:val="standardContextual"/>
        </w:rPr>
      </w:sdtEndPr>
      <w:sdtContent>
        <w:p w14:paraId="5F778215" w14:textId="2098BA43" w:rsidR="009C3A39" w:rsidRDefault="009C3A39">
          <w:pPr>
            <w:pStyle w:val="TOCHeading"/>
          </w:pPr>
          <w:r>
            <w:rPr>
              <w:lang w:val="en-GB"/>
            </w:rPr>
            <w:t>Contents</w:t>
          </w:r>
        </w:p>
        <w:p w14:paraId="00D8A4A0" w14:textId="6D2665FB" w:rsidR="005D04FB" w:rsidRDefault="009C3A39">
          <w:pPr>
            <w:pStyle w:val="TOC1"/>
            <w:tabs>
              <w:tab w:val="right" w:leader="dot" w:pos="9016"/>
            </w:tabs>
            <w:rPr>
              <w:rFonts w:eastAsiaTheme="minorEastAsia"/>
              <w:noProof/>
              <w:sz w:val="24"/>
              <w:lang w:val="en-BE" w:eastAsia="en-BE"/>
            </w:rPr>
          </w:pPr>
          <w:r>
            <w:fldChar w:fldCharType="begin"/>
          </w:r>
          <w:r>
            <w:instrText xml:space="preserve"> TOC \o "1-3" \h \z \u </w:instrText>
          </w:r>
          <w:r>
            <w:fldChar w:fldCharType="separate"/>
          </w:r>
          <w:hyperlink w:anchor="_Toc238204638" w:history="1">
            <w:r w:rsidR="005D04FB" w:rsidRPr="00B36978">
              <w:rPr>
                <w:rStyle w:val="Hyperlink"/>
                <w:noProof/>
                <w:lang w:val="en-BE"/>
              </w:rPr>
              <w:t>Abstract</w:t>
            </w:r>
            <w:r w:rsidR="005D04FB">
              <w:rPr>
                <w:noProof/>
                <w:webHidden/>
              </w:rPr>
              <w:tab/>
            </w:r>
            <w:r w:rsidR="005D04FB">
              <w:rPr>
                <w:noProof/>
                <w:webHidden/>
              </w:rPr>
              <w:fldChar w:fldCharType="begin"/>
            </w:r>
            <w:r w:rsidR="005D04FB">
              <w:rPr>
                <w:noProof/>
                <w:webHidden/>
              </w:rPr>
              <w:instrText xml:space="preserve"> PAGEREF _Toc238204638 \h </w:instrText>
            </w:r>
            <w:r w:rsidR="005D04FB">
              <w:rPr>
                <w:noProof/>
                <w:webHidden/>
              </w:rPr>
            </w:r>
            <w:r w:rsidR="005D04FB">
              <w:rPr>
                <w:noProof/>
                <w:webHidden/>
              </w:rPr>
              <w:fldChar w:fldCharType="separate"/>
            </w:r>
            <w:r w:rsidR="005D04FB">
              <w:rPr>
                <w:noProof/>
                <w:webHidden/>
              </w:rPr>
              <w:t>0</w:t>
            </w:r>
            <w:r w:rsidR="005D04FB">
              <w:rPr>
                <w:noProof/>
                <w:webHidden/>
              </w:rPr>
              <w:fldChar w:fldCharType="end"/>
            </w:r>
          </w:hyperlink>
        </w:p>
        <w:p w14:paraId="123031DE" w14:textId="62D42821" w:rsidR="005D04FB" w:rsidRDefault="005D04FB">
          <w:pPr>
            <w:pStyle w:val="TOC1"/>
            <w:tabs>
              <w:tab w:val="right" w:leader="dot" w:pos="9016"/>
            </w:tabs>
            <w:rPr>
              <w:rFonts w:eastAsiaTheme="minorEastAsia"/>
              <w:noProof/>
              <w:sz w:val="24"/>
              <w:lang w:val="en-BE" w:eastAsia="en-BE"/>
            </w:rPr>
          </w:pPr>
          <w:hyperlink w:anchor="_Toc238204639" w:history="1">
            <w:r w:rsidRPr="00B36978">
              <w:rPr>
                <w:rStyle w:val="Hyperlink"/>
                <w:noProof/>
                <w:lang w:val="en-BE"/>
              </w:rPr>
              <w:t>1. Introduction</w:t>
            </w:r>
            <w:r>
              <w:rPr>
                <w:noProof/>
                <w:webHidden/>
              </w:rPr>
              <w:tab/>
            </w:r>
            <w:r>
              <w:rPr>
                <w:noProof/>
                <w:webHidden/>
              </w:rPr>
              <w:fldChar w:fldCharType="begin"/>
            </w:r>
            <w:r>
              <w:rPr>
                <w:noProof/>
                <w:webHidden/>
              </w:rPr>
              <w:instrText xml:space="preserve"> PAGEREF _Toc238204639 \h </w:instrText>
            </w:r>
            <w:r>
              <w:rPr>
                <w:noProof/>
                <w:webHidden/>
              </w:rPr>
            </w:r>
            <w:r>
              <w:rPr>
                <w:noProof/>
                <w:webHidden/>
              </w:rPr>
              <w:fldChar w:fldCharType="separate"/>
            </w:r>
            <w:r>
              <w:rPr>
                <w:noProof/>
                <w:webHidden/>
              </w:rPr>
              <w:t>1</w:t>
            </w:r>
            <w:r>
              <w:rPr>
                <w:noProof/>
                <w:webHidden/>
              </w:rPr>
              <w:fldChar w:fldCharType="end"/>
            </w:r>
          </w:hyperlink>
        </w:p>
        <w:p w14:paraId="5DF5DDC6" w14:textId="2936A2CA" w:rsidR="005D04FB" w:rsidRDefault="005D04FB">
          <w:pPr>
            <w:pStyle w:val="TOC1"/>
            <w:tabs>
              <w:tab w:val="right" w:leader="dot" w:pos="9016"/>
            </w:tabs>
            <w:rPr>
              <w:rFonts w:eastAsiaTheme="minorEastAsia"/>
              <w:noProof/>
              <w:sz w:val="24"/>
              <w:lang w:val="en-BE" w:eastAsia="en-BE"/>
            </w:rPr>
          </w:pPr>
          <w:hyperlink w:anchor="_Toc238204640" w:history="1">
            <w:r w:rsidRPr="00B36978">
              <w:rPr>
                <w:rStyle w:val="Hyperlink"/>
                <w:noProof/>
                <w:lang w:val="en-BE"/>
              </w:rPr>
              <w:t>2. Methodology</w:t>
            </w:r>
            <w:r>
              <w:rPr>
                <w:noProof/>
                <w:webHidden/>
              </w:rPr>
              <w:tab/>
            </w:r>
            <w:r>
              <w:rPr>
                <w:noProof/>
                <w:webHidden/>
              </w:rPr>
              <w:fldChar w:fldCharType="begin"/>
            </w:r>
            <w:r>
              <w:rPr>
                <w:noProof/>
                <w:webHidden/>
              </w:rPr>
              <w:instrText xml:space="preserve"> PAGEREF _Toc238204640 \h </w:instrText>
            </w:r>
            <w:r>
              <w:rPr>
                <w:noProof/>
                <w:webHidden/>
              </w:rPr>
            </w:r>
            <w:r>
              <w:rPr>
                <w:noProof/>
                <w:webHidden/>
              </w:rPr>
              <w:fldChar w:fldCharType="separate"/>
            </w:r>
            <w:r>
              <w:rPr>
                <w:noProof/>
                <w:webHidden/>
              </w:rPr>
              <w:t>1</w:t>
            </w:r>
            <w:r>
              <w:rPr>
                <w:noProof/>
                <w:webHidden/>
              </w:rPr>
              <w:fldChar w:fldCharType="end"/>
            </w:r>
          </w:hyperlink>
        </w:p>
        <w:p w14:paraId="3C49EF40" w14:textId="6DCDB68D" w:rsidR="005D04FB" w:rsidRDefault="005D04FB">
          <w:pPr>
            <w:pStyle w:val="TOC2"/>
            <w:tabs>
              <w:tab w:val="right" w:leader="dot" w:pos="9016"/>
            </w:tabs>
            <w:rPr>
              <w:rFonts w:eastAsiaTheme="minorEastAsia"/>
              <w:noProof/>
              <w:sz w:val="24"/>
              <w:lang w:val="en-BE" w:eastAsia="en-BE"/>
            </w:rPr>
          </w:pPr>
          <w:hyperlink w:anchor="_Toc238204641" w:history="1">
            <w:r w:rsidRPr="00B36978">
              <w:rPr>
                <w:rStyle w:val="Hyperlink"/>
                <w:noProof/>
                <w:lang w:val="en-BE"/>
              </w:rPr>
              <w:t>2.1 RealQM Formulation</w:t>
            </w:r>
            <w:r>
              <w:rPr>
                <w:noProof/>
                <w:webHidden/>
              </w:rPr>
              <w:tab/>
            </w:r>
            <w:r>
              <w:rPr>
                <w:noProof/>
                <w:webHidden/>
              </w:rPr>
              <w:fldChar w:fldCharType="begin"/>
            </w:r>
            <w:r>
              <w:rPr>
                <w:noProof/>
                <w:webHidden/>
              </w:rPr>
              <w:instrText xml:space="preserve"> PAGEREF _Toc238204641 \h </w:instrText>
            </w:r>
            <w:r>
              <w:rPr>
                <w:noProof/>
                <w:webHidden/>
              </w:rPr>
            </w:r>
            <w:r>
              <w:rPr>
                <w:noProof/>
                <w:webHidden/>
              </w:rPr>
              <w:fldChar w:fldCharType="separate"/>
            </w:r>
            <w:r>
              <w:rPr>
                <w:noProof/>
                <w:webHidden/>
              </w:rPr>
              <w:t>1</w:t>
            </w:r>
            <w:r>
              <w:rPr>
                <w:noProof/>
                <w:webHidden/>
              </w:rPr>
              <w:fldChar w:fldCharType="end"/>
            </w:r>
          </w:hyperlink>
        </w:p>
        <w:p w14:paraId="7B6C4536" w14:textId="64FAE4FC" w:rsidR="005D04FB" w:rsidRDefault="005D04FB">
          <w:pPr>
            <w:pStyle w:val="TOC2"/>
            <w:tabs>
              <w:tab w:val="right" w:leader="dot" w:pos="9016"/>
            </w:tabs>
            <w:rPr>
              <w:rFonts w:eastAsiaTheme="minorEastAsia"/>
              <w:noProof/>
              <w:sz w:val="24"/>
              <w:lang w:val="en-BE" w:eastAsia="en-BE"/>
            </w:rPr>
          </w:pPr>
          <w:hyperlink w:anchor="_Toc238204642" w:history="1">
            <w:r w:rsidRPr="00B36978">
              <w:rPr>
                <w:rStyle w:val="Hyperlink"/>
                <w:noProof/>
                <w:lang w:val="en-BE"/>
              </w:rPr>
              <w:t>2.2 Computational Setup</w:t>
            </w:r>
            <w:r>
              <w:rPr>
                <w:noProof/>
                <w:webHidden/>
              </w:rPr>
              <w:tab/>
            </w:r>
            <w:r>
              <w:rPr>
                <w:noProof/>
                <w:webHidden/>
              </w:rPr>
              <w:fldChar w:fldCharType="begin"/>
            </w:r>
            <w:r>
              <w:rPr>
                <w:noProof/>
                <w:webHidden/>
              </w:rPr>
              <w:instrText xml:space="preserve"> PAGEREF _Toc238204642 \h </w:instrText>
            </w:r>
            <w:r>
              <w:rPr>
                <w:noProof/>
                <w:webHidden/>
              </w:rPr>
            </w:r>
            <w:r>
              <w:rPr>
                <w:noProof/>
                <w:webHidden/>
              </w:rPr>
              <w:fldChar w:fldCharType="separate"/>
            </w:r>
            <w:r>
              <w:rPr>
                <w:noProof/>
                <w:webHidden/>
              </w:rPr>
              <w:t>1</w:t>
            </w:r>
            <w:r>
              <w:rPr>
                <w:noProof/>
                <w:webHidden/>
              </w:rPr>
              <w:fldChar w:fldCharType="end"/>
            </w:r>
          </w:hyperlink>
        </w:p>
        <w:p w14:paraId="03A81617" w14:textId="20D580DA" w:rsidR="005D04FB" w:rsidRDefault="005D04FB">
          <w:pPr>
            <w:pStyle w:val="TOC1"/>
            <w:tabs>
              <w:tab w:val="right" w:leader="dot" w:pos="9016"/>
            </w:tabs>
            <w:rPr>
              <w:rFonts w:eastAsiaTheme="minorEastAsia"/>
              <w:noProof/>
              <w:sz w:val="24"/>
              <w:lang w:val="en-BE" w:eastAsia="en-BE"/>
            </w:rPr>
          </w:pPr>
          <w:hyperlink w:anchor="_Toc238204643" w:history="1">
            <w:r w:rsidRPr="00B36978">
              <w:rPr>
                <w:rStyle w:val="Hyperlink"/>
                <w:noProof/>
                <w:lang w:val="en-BE"/>
              </w:rPr>
              <w:t>3. Results and Discussion</w:t>
            </w:r>
            <w:r>
              <w:rPr>
                <w:noProof/>
                <w:webHidden/>
              </w:rPr>
              <w:tab/>
            </w:r>
            <w:r>
              <w:rPr>
                <w:noProof/>
                <w:webHidden/>
              </w:rPr>
              <w:fldChar w:fldCharType="begin"/>
            </w:r>
            <w:r>
              <w:rPr>
                <w:noProof/>
                <w:webHidden/>
              </w:rPr>
              <w:instrText xml:space="preserve"> PAGEREF _Toc238204643 \h </w:instrText>
            </w:r>
            <w:r>
              <w:rPr>
                <w:noProof/>
                <w:webHidden/>
              </w:rPr>
            </w:r>
            <w:r>
              <w:rPr>
                <w:noProof/>
                <w:webHidden/>
              </w:rPr>
              <w:fldChar w:fldCharType="separate"/>
            </w:r>
            <w:r>
              <w:rPr>
                <w:noProof/>
                <w:webHidden/>
              </w:rPr>
              <w:t>2</w:t>
            </w:r>
            <w:r>
              <w:rPr>
                <w:noProof/>
                <w:webHidden/>
              </w:rPr>
              <w:fldChar w:fldCharType="end"/>
            </w:r>
          </w:hyperlink>
        </w:p>
        <w:p w14:paraId="6264325E" w14:textId="20E4B98F" w:rsidR="005D04FB" w:rsidRDefault="005D04FB">
          <w:pPr>
            <w:pStyle w:val="TOC2"/>
            <w:tabs>
              <w:tab w:val="right" w:leader="dot" w:pos="9016"/>
            </w:tabs>
            <w:rPr>
              <w:rFonts w:eastAsiaTheme="minorEastAsia"/>
              <w:noProof/>
              <w:sz w:val="24"/>
              <w:lang w:val="en-BE" w:eastAsia="en-BE"/>
            </w:rPr>
          </w:pPr>
          <w:hyperlink w:anchor="_Toc238204644" w:history="1">
            <w:r w:rsidRPr="00B36978">
              <w:rPr>
                <w:rStyle w:val="Hyperlink"/>
                <w:noProof/>
                <w:lang w:val="en-BE"/>
              </w:rPr>
              <w:t>3.1 Total Energies</w:t>
            </w:r>
            <w:r>
              <w:rPr>
                <w:noProof/>
                <w:webHidden/>
              </w:rPr>
              <w:tab/>
            </w:r>
            <w:r>
              <w:rPr>
                <w:noProof/>
                <w:webHidden/>
              </w:rPr>
              <w:fldChar w:fldCharType="begin"/>
            </w:r>
            <w:r>
              <w:rPr>
                <w:noProof/>
                <w:webHidden/>
              </w:rPr>
              <w:instrText xml:space="preserve"> PAGEREF _Toc238204644 \h </w:instrText>
            </w:r>
            <w:r>
              <w:rPr>
                <w:noProof/>
                <w:webHidden/>
              </w:rPr>
            </w:r>
            <w:r>
              <w:rPr>
                <w:noProof/>
                <w:webHidden/>
              </w:rPr>
              <w:fldChar w:fldCharType="separate"/>
            </w:r>
            <w:r>
              <w:rPr>
                <w:noProof/>
                <w:webHidden/>
              </w:rPr>
              <w:t>2</w:t>
            </w:r>
            <w:r>
              <w:rPr>
                <w:noProof/>
                <w:webHidden/>
              </w:rPr>
              <w:fldChar w:fldCharType="end"/>
            </w:r>
          </w:hyperlink>
        </w:p>
        <w:p w14:paraId="38ED1AF6" w14:textId="41F49E58" w:rsidR="005D04FB" w:rsidRDefault="005D04FB">
          <w:pPr>
            <w:pStyle w:val="TOC2"/>
            <w:tabs>
              <w:tab w:val="right" w:leader="dot" w:pos="9016"/>
            </w:tabs>
            <w:rPr>
              <w:rFonts w:eastAsiaTheme="minorEastAsia"/>
              <w:noProof/>
              <w:sz w:val="24"/>
              <w:lang w:val="en-BE" w:eastAsia="en-BE"/>
            </w:rPr>
          </w:pPr>
          <w:hyperlink w:anchor="_Toc238204645" w:history="1">
            <w:r w:rsidRPr="00B36978">
              <w:rPr>
                <w:rStyle w:val="Hyperlink"/>
                <w:noProof/>
                <w:lang w:val="en-BE"/>
              </w:rPr>
              <w:t>3.2 Negative Electron–Electron Repulsion: A RealQM Interpretation</w:t>
            </w:r>
            <w:r>
              <w:rPr>
                <w:noProof/>
                <w:webHidden/>
              </w:rPr>
              <w:tab/>
            </w:r>
            <w:r>
              <w:rPr>
                <w:noProof/>
                <w:webHidden/>
              </w:rPr>
              <w:fldChar w:fldCharType="begin"/>
            </w:r>
            <w:r>
              <w:rPr>
                <w:noProof/>
                <w:webHidden/>
              </w:rPr>
              <w:instrText xml:space="preserve"> PAGEREF _Toc238204645 \h </w:instrText>
            </w:r>
            <w:r>
              <w:rPr>
                <w:noProof/>
                <w:webHidden/>
              </w:rPr>
            </w:r>
            <w:r>
              <w:rPr>
                <w:noProof/>
                <w:webHidden/>
              </w:rPr>
              <w:fldChar w:fldCharType="separate"/>
            </w:r>
            <w:r>
              <w:rPr>
                <w:noProof/>
                <w:webHidden/>
              </w:rPr>
              <w:t>2</w:t>
            </w:r>
            <w:r>
              <w:rPr>
                <w:noProof/>
                <w:webHidden/>
              </w:rPr>
              <w:fldChar w:fldCharType="end"/>
            </w:r>
          </w:hyperlink>
        </w:p>
        <w:p w14:paraId="7B302EE6" w14:textId="12B077C5" w:rsidR="005D04FB" w:rsidRDefault="005D04FB">
          <w:pPr>
            <w:pStyle w:val="TOC2"/>
            <w:tabs>
              <w:tab w:val="right" w:leader="dot" w:pos="9016"/>
            </w:tabs>
            <w:rPr>
              <w:rFonts w:eastAsiaTheme="minorEastAsia"/>
              <w:noProof/>
              <w:sz w:val="24"/>
              <w:lang w:val="en-BE" w:eastAsia="en-BE"/>
            </w:rPr>
          </w:pPr>
          <w:hyperlink w:anchor="_Toc238204646" w:history="1">
            <w:r w:rsidRPr="00B36978">
              <w:rPr>
                <w:rStyle w:val="Hyperlink"/>
                <w:noProof/>
                <w:lang w:val="en-BE"/>
              </w:rPr>
              <w:t>3.3 Convergence and Accuracy</w:t>
            </w:r>
            <w:r>
              <w:rPr>
                <w:noProof/>
                <w:webHidden/>
              </w:rPr>
              <w:tab/>
            </w:r>
            <w:r>
              <w:rPr>
                <w:noProof/>
                <w:webHidden/>
              </w:rPr>
              <w:fldChar w:fldCharType="begin"/>
            </w:r>
            <w:r>
              <w:rPr>
                <w:noProof/>
                <w:webHidden/>
              </w:rPr>
              <w:instrText xml:space="preserve"> PAGEREF _Toc238204646 \h </w:instrText>
            </w:r>
            <w:r>
              <w:rPr>
                <w:noProof/>
                <w:webHidden/>
              </w:rPr>
            </w:r>
            <w:r>
              <w:rPr>
                <w:noProof/>
                <w:webHidden/>
              </w:rPr>
              <w:fldChar w:fldCharType="separate"/>
            </w:r>
            <w:r>
              <w:rPr>
                <w:noProof/>
                <w:webHidden/>
              </w:rPr>
              <w:t>3</w:t>
            </w:r>
            <w:r>
              <w:rPr>
                <w:noProof/>
                <w:webHidden/>
              </w:rPr>
              <w:fldChar w:fldCharType="end"/>
            </w:r>
          </w:hyperlink>
        </w:p>
        <w:p w14:paraId="02841E1A" w14:textId="79EAAB2F" w:rsidR="005D04FB" w:rsidRDefault="005D04FB">
          <w:pPr>
            <w:pStyle w:val="TOC1"/>
            <w:tabs>
              <w:tab w:val="right" w:leader="dot" w:pos="9016"/>
            </w:tabs>
            <w:rPr>
              <w:rFonts w:eastAsiaTheme="minorEastAsia"/>
              <w:noProof/>
              <w:sz w:val="24"/>
              <w:lang w:val="en-BE" w:eastAsia="en-BE"/>
            </w:rPr>
          </w:pPr>
          <w:hyperlink w:anchor="_Toc238204647" w:history="1">
            <w:r w:rsidRPr="00B36978">
              <w:rPr>
                <w:rStyle w:val="Hyperlink"/>
                <w:noProof/>
                <w:lang w:val="en-BE"/>
              </w:rPr>
              <w:t>4. Conclusions</w:t>
            </w:r>
            <w:r>
              <w:rPr>
                <w:noProof/>
                <w:webHidden/>
              </w:rPr>
              <w:tab/>
            </w:r>
            <w:r>
              <w:rPr>
                <w:noProof/>
                <w:webHidden/>
              </w:rPr>
              <w:fldChar w:fldCharType="begin"/>
            </w:r>
            <w:r>
              <w:rPr>
                <w:noProof/>
                <w:webHidden/>
              </w:rPr>
              <w:instrText xml:space="preserve"> PAGEREF _Toc238204647 \h </w:instrText>
            </w:r>
            <w:r>
              <w:rPr>
                <w:noProof/>
                <w:webHidden/>
              </w:rPr>
            </w:r>
            <w:r>
              <w:rPr>
                <w:noProof/>
                <w:webHidden/>
              </w:rPr>
              <w:fldChar w:fldCharType="separate"/>
            </w:r>
            <w:r>
              <w:rPr>
                <w:noProof/>
                <w:webHidden/>
              </w:rPr>
              <w:t>3</w:t>
            </w:r>
            <w:r>
              <w:rPr>
                <w:noProof/>
                <w:webHidden/>
              </w:rPr>
              <w:fldChar w:fldCharType="end"/>
            </w:r>
          </w:hyperlink>
        </w:p>
        <w:p w14:paraId="06C63E31" w14:textId="21837854" w:rsidR="009C3A39" w:rsidRDefault="009C3A39">
          <w:r>
            <w:rPr>
              <w:b/>
              <w:bCs/>
              <w:lang w:val="en-GB"/>
            </w:rPr>
            <w:fldChar w:fldCharType="end"/>
          </w:r>
        </w:p>
      </w:sdtContent>
    </w:sdt>
    <w:p w14:paraId="0DA4FB4A" w14:textId="77777777" w:rsidR="009C3A39" w:rsidRDefault="009C3A39" w:rsidP="00BF1B7B">
      <w:pPr>
        <w:rPr>
          <w:lang w:val="en-BE"/>
        </w:rPr>
      </w:pPr>
    </w:p>
    <w:p w14:paraId="425D6FF5" w14:textId="159CE81E" w:rsidR="009C3A39" w:rsidRDefault="009C3A39">
      <w:pPr>
        <w:rPr>
          <w:lang w:val="en-BE"/>
        </w:rPr>
      </w:pPr>
      <w:r>
        <w:rPr>
          <w:lang w:val="en-BE"/>
        </w:rPr>
        <w:br w:type="page"/>
      </w:r>
    </w:p>
    <w:p w14:paraId="7499E9B8" w14:textId="77777777" w:rsidR="00BF1B7B" w:rsidRPr="00BF1B7B" w:rsidRDefault="00BF1B7B" w:rsidP="009C3A39">
      <w:pPr>
        <w:pStyle w:val="Heading1"/>
        <w:rPr>
          <w:lang w:val="en-BE"/>
        </w:rPr>
      </w:pPr>
      <w:bookmarkStart w:id="1" w:name="_Toc238204639"/>
      <w:r w:rsidRPr="00BF1B7B">
        <w:rPr>
          <w:lang w:val="en-BE"/>
        </w:rPr>
        <w:lastRenderedPageBreak/>
        <w:t>1. Introduction</w:t>
      </w:r>
      <w:bookmarkEnd w:id="1"/>
    </w:p>
    <w:p w14:paraId="4FA82C6E" w14:textId="77777777" w:rsidR="00BF1B7B" w:rsidRPr="00BF1B7B" w:rsidRDefault="00BF1B7B" w:rsidP="00BF1B7B">
      <w:pPr>
        <w:rPr>
          <w:lang w:val="en-BE"/>
        </w:rPr>
      </w:pPr>
      <w:r w:rsidRPr="00BF1B7B">
        <w:rPr>
          <w:lang w:val="en-BE"/>
        </w:rPr>
        <w:t>The H₃</w:t>
      </w:r>
      <w:r w:rsidRPr="00BF1B7B">
        <w:rPr>
          <w:rFonts w:ascii="Cambria Math" w:hAnsi="Cambria Math" w:cs="Cambria Math"/>
          <w:lang w:val="en-BE"/>
        </w:rPr>
        <w:t>⁺</w:t>
      </w:r>
      <w:r w:rsidRPr="00BF1B7B">
        <w:rPr>
          <w:lang w:val="en-BE"/>
        </w:rPr>
        <w:t xml:space="preserve"> molecule is the simplest polyatomic ion and plays a central role in interstellar chemistry and in the understanding of proton-transfer reactions [1]. Despite its apparent simplicity, the accurate quantum-mechanical description of H</w:t>
      </w:r>
      <w:r w:rsidRPr="00BF1B7B">
        <w:rPr>
          <w:rFonts w:ascii="Aptos" w:hAnsi="Aptos" w:cs="Aptos"/>
          <w:lang w:val="en-BE"/>
        </w:rPr>
        <w:t>₃</w:t>
      </w:r>
      <w:r w:rsidRPr="00BF1B7B">
        <w:rPr>
          <w:rFonts w:ascii="Cambria Math" w:hAnsi="Cambria Math" w:cs="Cambria Math"/>
          <w:lang w:val="en-BE"/>
        </w:rPr>
        <w:t>⁺</w:t>
      </w:r>
      <w:r w:rsidRPr="00BF1B7B">
        <w:rPr>
          <w:lang w:val="en-BE"/>
        </w:rPr>
        <w:t xml:space="preserve"> requires careful treatment of electron correlation and nuclear motion. Standard approaches employ Gaussian-basis expansions or explicitly correlated methods, which are computationally demanding and often obscure the physical picture of how the electron density is distributed among the nuclei.</w:t>
      </w:r>
    </w:p>
    <w:p w14:paraId="01BD6A15" w14:textId="77777777" w:rsidR="00BF1B7B" w:rsidRPr="00BF1B7B" w:rsidRDefault="00BF1B7B" w:rsidP="00BF1B7B">
      <w:pPr>
        <w:rPr>
          <w:lang w:val="en-BE"/>
        </w:rPr>
      </w:pPr>
      <w:r w:rsidRPr="00BF1B7B">
        <w:rPr>
          <w:lang w:val="en-BE"/>
        </w:rPr>
        <w:t xml:space="preserve">Real-space Quantum Mechanics (RealQM) offers an alternative framework in which the electron density is computed on a spatial grid, and the two electrons are represented as two separate density regions with zero overlap (orthogonalized in the real-space sense). This avoids the need for </w:t>
      </w:r>
      <w:proofErr w:type="spellStart"/>
      <w:r w:rsidRPr="00BF1B7B">
        <w:rPr>
          <w:lang w:val="en-BE"/>
        </w:rPr>
        <w:t>antisymmetrized</w:t>
      </w:r>
      <w:proofErr w:type="spellEnd"/>
      <w:r w:rsidRPr="00BF1B7B">
        <w:rPr>
          <w:lang w:val="en-BE"/>
        </w:rPr>
        <w:t xml:space="preserve"> Slater determinants while still preserving the essential physics of electron–electron repulsion through an effective local potential. In this work, we apply RealQM to H₃</w:t>
      </w:r>
      <w:r w:rsidRPr="00BF1B7B">
        <w:rPr>
          <w:rFonts w:ascii="Cambria Math" w:hAnsi="Cambria Math" w:cs="Cambria Math"/>
          <w:lang w:val="en-BE"/>
        </w:rPr>
        <w:t>⁺</w:t>
      </w:r>
      <w:r w:rsidRPr="00BF1B7B">
        <w:rPr>
          <w:lang w:val="en-BE"/>
        </w:rPr>
        <w:t xml:space="preserve"> in three geometries to assess its performance and to provide a natural explanation for the stability of this triatomic ion.</w:t>
      </w:r>
    </w:p>
    <w:p w14:paraId="12EF2469" w14:textId="77777777" w:rsidR="00BF1B7B" w:rsidRPr="00BF1B7B" w:rsidRDefault="00BF1B7B" w:rsidP="009C3A39">
      <w:pPr>
        <w:pStyle w:val="Heading1"/>
        <w:rPr>
          <w:lang w:val="en-BE"/>
        </w:rPr>
      </w:pPr>
      <w:bookmarkStart w:id="2" w:name="_Toc238204640"/>
      <w:r w:rsidRPr="00BF1B7B">
        <w:rPr>
          <w:lang w:val="en-BE"/>
        </w:rPr>
        <w:t>2. Methodology</w:t>
      </w:r>
      <w:bookmarkEnd w:id="2"/>
    </w:p>
    <w:p w14:paraId="7B54954D" w14:textId="77777777" w:rsidR="00BF1B7B" w:rsidRPr="00BF1B7B" w:rsidRDefault="00BF1B7B" w:rsidP="009C3A39">
      <w:pPr>
        <w:pStyle w:val="Heading2"/>
        <w:rPr>
          <w:lang w:val="en-BE"/>
        </w:rPr>
      </w:pPr>
      <w:bookmarkStart w:id="3" w:name="_Toc238204641"/>
      <w:r w:rsidRPr="00BF1B7B">
        <w:rPr>
          <w:lang w:val="en-BE"/>
        </w:rPr>
        <w:t>2.1 RealQM Formulation</w:t>
      </w:r>
      <w:bookmarkEnd w:id="3"/>
    </w:p>
    <w:p w14:paraId="76F09DE9" w14:textId="77777777" w:rsidR="00BF1B7B" w:rsidRPr="00BF1B7B" w:rsidRDefault="00BF1B7B" w:rsidP="00BF1B7B">
      <w:pPr>
        <w:rPr>
          <w:lang w:val="en-BE"/>
        </w:rPr>
      </w:pPr>
      <w:r w:rsidRPr="00BF1B7B">
        <w:rPr>
          <w:lang w:val="en-BE"/>
        </w:rPr>
        <w:t>In RealQM, the total electron density is partitioned into two non-overlapping regions, ρ₁ and ρ₂, each associated with one electron. The total energy is written as:</w:t>
      </w:r>
    </w:p>
    <w:p w14:paraId="07E6E610" w14:textId="47ADEC93" w:rsidR="00BF1B7B" w:rsidRPr="00BF1B7B" w:rsidRDefault="00BF1B7B" w:rsidP="00BF1B7B">
      <w:pPr>
        <w:rPr>
          <w:lang w:val="en-BE"/>
        </w:rPr>
      </w:pPr>
      <m:oMathPara>
        <m:oMath>
          <m:r>
            <w:rPr>
              <w:rFonts w:ascii="Cambria Math" w:hAnsi="Cambria Math"/>
              <w:lang w:val="en-BE"/>
            </w:rPr>
            <m:t>E=T</m:t>
          </m:r>
          <m:d>
            <m:dPr>
              <m:begChr m:val="["/>
              <m:endChr m:val="]"/>
              <m:ctrlPr>
                <w:rPr>
                  <w:rFonts w:ascii="Cambria Math" w:hAnsi="Cambria Math"/>
                  <w:lang w:val="en-BE"/>
                </w:rPr>
              </m:ctrlPr>
            </m:dPr>
            <m:e>
              <m:sSub>
                <m:sSubPr>
                  <m:ctrlPr>
                    <w:rPr>
                      <w:rFonts w:ascii="Cambria Math" w:hAnsi="Cambria Math"/>
                      <w:lang w:val="en-BE"/>
                    </w:rPr>
                  </m:ctrlPr>
                </m:sSubPr>
                <m:e>
                  <m:r>
                    <w:rPr>
                      <w:rFonts w:ascii="Cambria Math" w:hAnsi="Cambria Math"/>
                      <w:lang w:val="en-BE"/>
                    </w:rPr>
                    <m:t>ρ</m:t>
                  </m:r>
                </m:e>
                <m:sub>
                  <m:r>
                    <w:rPr>
                      <w:rFonts w:ascii="Cambria Math" w:hAnsi="Cambria Math"/>
                      <w:lang w:val="en-BE"/>
                    </w:rPr>
                    <m:t>1</m:t>
                  </m:r>
                </m:sub>
              </m:sSub>
            </m:e>
          </m:d>
          <m:r>
            <w:rPr>
              <w:rFonts w:ascii="Cambria Math" w:hAnsi="Cambria Math"/>
              <w:lang w:val="en-BE"/>
            </w:rPr>
            <m:t>+T</m:t>
          </m:r>
          <m:d>
            <m:dPr>
              <m:begChr m:val="["/>
              <m:endChr m:val="]"/>
              <m:ctrlPr>
                <w:rPr>
                  <w:rFonts w:ascii="Cambria Math" w:hAnsi="Cambria Math"/>
                  <w:lang w:val="en-BE"/>
                </w:rPr>
              </m:ctrlPr>
            </m:dPr>
            <m:e>
              <m:sSub>
                <m:sSubPr>
                  <m:ctrlPr>
                    <w:rPr>
                      <w:rFonts w:ascii="Cambria Math" w:hAnsi="Cambria Math"/>
                      <w:lang w:val="en-BE"/>
                    </w:rPr>
                  </m:ctrlPr>
                </m:sSubPr>
                <m:e>
                  <m:r>
                    <w:rPr>
                      <w:rFonts w:ascii="Cambria Math" w:hAnsi="Cambria Math"/>
                      <w:lang w:val="en-BE"/>
                    </w:rPr>
                    <m:t>ρ</m:t>
                  </m:r>
                </m:e>
                <m:sub>
                  <m:r>
                    <w:rPr>
                      <w:rFonts w:ascii="Cambria Math" w:hAnsi="Cambria Math"/>
                      <w:lang w:val="en-BE"/>
                    </w:rPr>
                    <m:t>2</m:t>
                  </m:r>
                </m:sub>
              </m:sSub>
            </m:e>
          </m:d>
          <m:r>
            <w:rPr>
              <w:rFonts w:ascii="Cambria Math" w:hAnsi="Cambria Math"/>
              <w:lang w:val="en-BE"/>
            </w:rPr>
            <m:t>+</m:t>
          </m:r>
          <m:sSub>
            <m:sSubPr>
              <m:ctrlPr>
                <w:rPr>
                  <w:rFonts w:ascii="Cambria Math" w:hAnsi="Cambria Math"/>
                  <w:lang w:val="en-BE"/>
                </w:rPr>
              </m:ctrlPr>
            </m:sSubPr>
            <m:e>
              <m:r>
                <w:rPr>
                  <w:rFonts w:ascii="Cambria Math" w:hAnsi="Cambria Math"/>
                  <w:lang w:val="en-BE"/>
                </w:rPr>
                <m:t>V</m:t>
              </m:r>
            </m:e>
            <m:sub>
              <m:r>
                <m:rPr>
                  <m:nor/>
                </m:rPr>
                <w:rPr>
                  <w:lang w:val="en-BE"/>
                </w:rPr>
                <m:t>ext</m:t>
              </m:r>
            </m:sub>
          </m:sSub>
          <m:d>
            <m:dPr>
              <m:begChr m:val="["/>
              <m:endChr m:val="]"/>
              <m:ctrlPr>
                <w:rPr>
                  <w:rFonts w:ascii="Cambria Math" w:hAnsi="Cambria Math"/>
                  <w:lang w:val="en-BE"/>
                </w:rPr>
              </m:ctrlPr>
            </m:dPr>
            <m:e>
              <m:sSub>
                <m:sSubPr>
                  <m:ctrlPr>
                    <w:rPr>
                      <w:rFonts w:ascii="Cambria Math" w:hAnsi="Cambria Math"/>
                      <w:lang w:val="en-BE"/>
                    </w:rPr>
                  </m:ctrlPr>
                </m:sSubPr>
                <m:e>
                  <m:r>
                    <w:rPr>
                      <w:rFonts w:ascii="Cambria Math" w:hAnsi="Cambria Math"/>
                      <w:lang w:val="en-BE"/>
                    </w:rPr>
                    <m:t>ρ</m:t>
                  </m:r>
                </m:e>
                <m:sub>
                  <m:r>
                    <w:rPr>
                      <w:rFonts w:ascii="Cambria Math" w:hAnsi="Cambria Math"/>
                      <w:lang w:val="en-BE"/>
                    </w:rPr>
                    <m:t>1</m:t>
                  </m:r>
                </m:sub>
              </m:sSub>
              <m:r>
                <w:rPr>
                  <w:rFonts w:ascii="Cambria Math" w:hAnsi="Cambria Math"/>
                  <w:lang w:val="en-BE"/>
                </w:rPr>
                <m:t>+</m:t>
              </m:r>
              <m:sSub>
                <m:sSubPr>
                  <m:ctrlPr>
                    <w:rPr>
                      <w:rFonts w:ascii="Cambria Math" w:hAnsi="Cambria Math"/>
                      <w:lang w:val="en-BE"/>
                    </w:rPr>
                  </m:ctrlPr>
                </m:sSubPr>
                <m:e>
                  <m:r>
                    <w:rPr>
                      <w:rFonts w:ascii="Cambria Math" w:hAnsi="Cambria Math"/>
                      <w:lang w:val="en-BE"/>
                    </w:rPr>
                    <m:t>ρ</m:t>
                  </m:r>
                </m:e>
                <m:sub>
                  <m:r>
                    <w:rPr>
                      <w:rFonts w:ascii="Cambria Math" w:hAnsi="Cambria Math"/>
                      <w:lang w:val="en-BE"/>
                    </w:rPr>
                    <m:t>2</m:t>
                  </m:r>
                </m:sub>
              </m:sSub>
            </m:e>
          </m:d>
          <m:r>
            <w:rPr>
              <w:rFonts w:ascii="Cambria Math" w:hAnsi="Cambria Math"/>
              <w:lang w:val="en-BE"/>
            </w:rPr>
            <m:t>+</m:t>
          </m:r>
          <m:sSub>
            <m:sSubPr>
              <m:ctrlPr>
                <w:rPr>
                  <w:rFonts w:ascii="Cambria Math" w:hAnsi="Cambria Math"/>
                  <w:lang w:val="en-BE"/>
                </w:rPr>
              </m:ctrlPr>
            </m:sSubPr>
            <m:e>
              <m:r>
                <w:rPr>
                  <w:rFonts w:ascii="Cambria Math" w:hAnsi="Cambria Math"/>
                  <w:lang w:val="en-BE"/>
                </w:rPr>
                <m:t>V</m:t>
              </m:r>
            </m:e>
            <m:sub>
              <m:r>
                <m:rPr>
                  <m:nor/>
                </m:rPr>
                <w:rPr>
                  <w:lang w:val="en-BE"/>
                </w:rPr>
                <m:t>ee</m:t>
              </m:r>
            </m:sub>
          </m:sSub>
          <m:d>
            <m:dPr>
              <m:begChr m:val="["/>
              <m:sepChr m:val=","/>
              <m:endChr m:val="]"/>
              <m:ctrlPr>
                <w:rPr>
                  <w:rFonts w:ascii="Cambria Math" w:hAnsi="Cambria Math"/>
                  <w:lang w:val="en-BE"/>
                </w:rPr>
              </m:ctrlPr>
            </m:dPr>
            <m:e>
              <m:sSub>
                <m:sSubPr>
                  <m:ctrlPr>
                    <w:rPr>
                      <w:rFonts w:ascii="Cambria Math" w:hAnsi="Cambria Math"/>
                      <w:lang w:val="en-BE"/>
                    </w:rPr>
                  </m:ctrlPr>
                </m:sSubPr>
                <m:e>
                  <m:r>
                    <w:rPr>
                      <w:rFonts w:ascii="Cambria Math" w:hAnsi="Cambria Math"/>
                      <w:lang w:val="en-BE"/>
                    </w:rPr>
                    <m:t>ρ</m:t>
                  </m:r>
                </m:e>
                <m:sub>
                  <m:r>
                    <w:rPr>
                      <w:rFonts w:ascii="Cambria Math" w:hAnsi="Cambria Math"/>
                      <w:lang w:val="en-BE"/>
                    </w:rPr>
                    <m:t>1</m:t>
                  </m:r>
                </m:sub>
              </m:sSub>
            </m:e>
            <m:e>
              <m:sSub>
                <m:sSubPr>
                  <m:ctrlPr>
                    <w:rPr>
                      <w:rFonts w:ascii="Cambria Math" w:hAnsi="Cambria Math"/>
                      <w:lang w:val="en-BE"/>
                    </w:rPr>
                  </m:ctrlPr>
                </m:sSubPr>
                <m:e>
                  <m:r>
                    <w:rPr>
                      <w:rFonts w:ascii="Cambria Math" w:hAnsi="Cambria Math"/>
                      <w:lang w:val="en-BE"/>
                    </w:rPr>
                    <m:t>ρ</m:t>
                  </m:r>
                </m:e>
                <m:sub>
                  <m:r>
                    <w:rPr>
                      <w:rFonts w:ascii="Cambria Math" w:hAnsi="Cambria Math"/>
                      <w:lang w:val="en-BE"/>
                    </w:rPr>
                    <m:t>2</m:t>
                  </m:r>
                </m:sub>
              </m:sSub>
            </m:e>
          </m:d>
          <m:r>
            <w:rPr>
              <w:lang w:val="en-BE"/>
            </w:rPr>
            <w:br/>
          </m:r>
        </m:oMath>
      </m:oMathPara>
    </w:p>
    <w:p w14:paraId="4014B560" w14:textId="2056337D" w:rsidR="00BF1B7B" w:rsidRPr="00BF1B7B" w:rsidRDefault="00BF1B7B" w:rsidP="00BF1B7B">
      <w:pPr>
        <w:rPr>
          <w:lang w:val="en-BE"/>
        </w:rPr>
      </w:pPr>
      <w:r w:rsidRPr="00BF1B7B">
        <w:rPr>
          <w:lang w:val="en-BE"/>
        </w:rPr>
        <w:t>where </w:t>
      </w:r>
      <m:oMath>
        <m:r>
          <w:rPr>
            <w:rFonts w:ascii="Cambria Math" w:hAnsi="Cambria Math"/>
            <w:lang w:val="en-BE"/>
          </w:rPr>
          <m:t>T</m:t>
        </m:r>
      </m:oMath>
      <w:r w:rsidRPr="00BF1B7B">
        <w:rPr>
          <w:lang w:val="en-BE"/>
        </w:rPr>
        <w:t> is the kinetic energy functional, </w:t>
      </w:r>
      <m:oMath>
        <m:sSub>
          <m:sSubPr>
            <m:ctrlPr>
              <w:rPr>
                <w:rFonts w:ascii="Cambria Math" w:hAnsi="Cambria Math"/>
                <w:lang w:val="en-BE"/>
              </w:rPr>
            </m:ctrlPr>
          </m:sSubPr>
          <m:e>
            <m:r>
              <w:rPr>
                <w:rFonts w:ascii="Cambria Math" w:hAnsi="Cambria Math"/>
                <w:lang w:val="en-BE"/>
              </w:rPr>
              <m:t>V</m:t>
            </m:r>
          </m:e>
          <m:sub>
            <m:r>
              <m:rPr>
                <m:nor/>
              </m:rPr>
              <w:rPr>
                <w:lang w:val="en-BE"/>
              </w:rPr>
              <m:t>ext</m:t>
            </m:r>
          </m:sub>
        </m:sSub>
      </m:oMath>
      <w:r w:rsidRPr="00BF1B7B">
        <w:rPr>
          <w:lang w:val="en-BE"/>
        </w:rPr>
        <w:t> is the nuclear attraction, and </w:t>
      </w:r>
      <m:oMath>
        <m:sSub>
          <m:sSubPr>
            <m:ctrlPr>
              <w:rPr>
                <w:rFonts w:ascii="Cambria Math" w:hAnsi="Cambria Math"/>
                <w:lang w:val="en-BE"/>
              </w:rPr>
            </m:ctrlPr>
          </m:sSubPr>
          <m:e>
            <m:r>
              <w:rPr>
                <w:rFonts w:ascii="Cambria Math" w:hAnsi="Cambria Math"/>
                <w:lang w:val="en-BE"/>
              </w:rPr>
              <m:t>V</m:t>
            </m:r>
          </m:e>
          <m:sub>
            <m:r>
              <m:rPr>
                <m:nor/>
              </m:rPr>
              <w:rPr>
                <w:lang w:val="en-BE"/>
              </w:rPr>
              <m:t>ee</m:t>
            </m:r>
          </m:sub>
        </m:sSub>
      </m:oMath>
      <w:r w:rsidRPr="00BF1B7B">
        <w:rPr>
          <w:lang w:val="en-BE"/>
        </w:rPr>
        <w:t> is the electron–electron interaction. The electron–electron term is represented as an effective local potential that depends on the two densities and their spatial separation, rather than the standard two-electron Coulomb integral. This formulation naturally enforces orthogonality by construction (zero overlap between ρ₁ and ρ₂), thereby avoiding the need for a Slater determinant.</w:t>
      </w:r>
    </w:p>
    <w:p w14:paraId="757EFB3D" w14:textId="77777777" w:rsidR="00BF1B7B" w:rsidRDefault="00BF1B7B" w:rsidP="00BF1B7B">
      <w:pPr>
        <w:rPr>
          <w:lang w:val="en-BE"/>
        </w:rPr>
      </w:pPr>
      <w:r w:rsidRPr="00BF1B7B">
        <w:rPr>
          <w:lang w:val="en-BE"/>
        </w:rPr>
        <w:t xml:space="preserve">The densities are optimized via a steepest-descent (imaginary-time) relaxation on a Cartesian grid. The grid spacing and box size were chosen to ensure numerical convergence (41³ points, box ±3.0 Å, step size Δt = 0.0005 </w:t>
      </w:r>
      <w:proofErr w:type="spellStart"/>
      <w:r w:rsidRPr="00BF1B7B">
        <w:rPr>
          <w:lang w:val="en-BE"/>
        </w:rPr>
        <w:t>a.u</w:t>
      </w:r>
      <w:proofErr w:type="spellEnd"/>
      <w:r w:rsidRPr="00BF1B7B">
        <w:rPr>
          <w:lang w:val="en-BE"/>
        </w:rPr>
        <w:t>.).</w:t>
      </w:r>
    </w:p>
    <w:p w14:paraId="2C638AE7" w14:textId="0E347AA6" w:rsidR="00F01D4F" w:rsidRPr="00F01D4F" w:rsidRDefault="00F01D4F" w:rsidP="00BF1B7B">
      <w:pPr>
        <w:rPr>
          <w:sz w:val="20"/>
          <w:szCs w:val="20"/>
          <w:lang w:val="en-BE"/>
        </w:rPr>
      </w:pPr>
      <w:r w:rsidRPr="00F01D4F">
        <w:rPr>
          <w:b/>
          <w:bCs/>
          <w:sz w:val="20"/>
          <w:szCs w:val="20"/>
          <w:lang w:val="en-BE"/>
        </w:rPr>
        <w:t>Note</w:t>
      </w:r>
      <w:r w:rsidRPr="00F01D4F">
        <w:rPr>
          <w:sz w:val="20"/>
          <w:szCs w:val="20"/>
          <w:lang w:val="en-BE"/>
        </w:rPr>
        <w:t xml:space="preserve">: </w:t>
      </w:r>
      <w:r w:rsidRPr="00F01D4F">
        <w:rPr>
          <w:sz w:val="20"/>
          <w:szCs w:val="20"/>
        </w:rPr>
        <w:t>RealQM is not a standard ab initio method; it is a physically motivated density-based approach that enforces orthogonality by construction. The results should be viewed as a demonstration of the method's capability rather than as a replacement for high-level quantum-chemistry benchmarks.</w:t>
      </w:r>
    </w:p>
    <w:p w14:paraId="23794B6C" w14:textId="77777777" w:rsidR="00BF1B7B" w:rsidRPr="00BF1B7B" w:rsidRDefault="00BF1B7B" w:rsidP="009C3A39">
      <w:pPr>
        <w:pStyle w:val="Heading2"/>
        <w:rPr>
          <w:lang w:val="en-BE"/>
        </w:rPr>
      </w:pPr>
      <w:bookmarkStart w:id="4" w:name="_Toc238204642"/>
      <w:r w:rsidRPr="00BF1B7B">
        <w:rPr>
          <w:lang w:val="en-BE"/>
        </w:rPr>
        <w:t>2.2 Computational Setup</w:t>
      </w:r>
      <w:bookmarkEnd w:id="4"/>
    </w:p>
    <w:p w14:paraId="7F4F363D" w14:textId="77777777" w:rsidR="00BF1B7B" w:rsidRPr="00BF1B7B" w:rsidRDefault="00BF1B7B" w:rsidP="00BF1B7B">
      <w:pPr>
        <w:rPr>
          <w:lang w:val="en-BE"/>
        </w:rPr>
      </w:pPr>
      <w:r w:rsidRPr="00BF1B7B">
        <w:rPr>
          <w:lang w:val="en-BE"/>
        </w:rPr>
        <w:t>Three nuclear geometries were considered:</w:t>
      </w:r>
    </w:p>
    <w:p w14:paraId="1CE0B15B" w14:textId="77777777" w:rsidR="00BF1B7B" w:rsidRPr="00BF1B7B" w:rsidRDefault="00BF1B7B" w:rsidP="00BF1B7B">
      <w:pPr>
        <w:numPr>
          <w:ilvl w:val="0"/>
          <w:numId w:val="1"/>
        </w:numPr>
        <w:rPr>
          <w:lang w:val="en-BE"/>
        </w:rPr>
      </w:pPr>
      <w:r w:rsidRPr="00BF1B7B">
        <w:rPr>
          <w:b/>
          <w:bCs/>
          <w:lang w:val="en-BE"/>
        </w:rPr>
        <w:t>Equilateral:</w:t>
      </w:r>
      <w:r w:rsidRPr="00BF1B7B">
        <w:rPr>
          <w:lang w:val="en-BE"/>
        </w:rPr>
        <w:t> Three protons forming a triangle with side length R = 1.0 Å.</w:t>
      </w:r>
    </w:p>
    <w:p w14:paraId="7300B8D0" w14:textId="77777777" w:rsidR="00BF1B7B" w:rsidRPr="00BF1B7B" w:rsidRDefault="00BF1B7B" w:rsidP="00BF1B7B">
      <w:pPr>
        <w:numPr>
          <w:ilvl w:val="0"/>
          <w:numId w:val="1"/>
        </w:numPr>
        <w:rPr>
          <w:lang w:val="en-BE"/>
        </w:rPr>
      </w:pPr>
      <w:r w:rsidRPr="00BF1B7B">
        <w:rPr>
          <w:b/>
          <w:bCs/>
          <w:lang w:val="en-BE"/>
        </w:rPr>
        <w:t>Isosceles:</w:t>
      </w:r>
      <w:r w:rsidRPr="00BF1B7B">
        <w:rPr>
          <w:lang w:val="en-BE"/>
        </w:rPr>
        <w:t> Two protons at (±1.0, 0, 0) and one at (0, 0.8, 0) – base 2.0 Å, height 0.8 Å.</w:t>
      </w:r>
    </w:p>
    <w:p w14:paraId="7DBEEBB6" w14:textId="77777777" w:rsidR="00BF1B7B" w:rsidRPr="00BF1B7B" w:rsidRDefault="00BF1B7B" w:rsidP="00BF1B7B">
      <w:pPr>
        <w:numPr>
          <w:ilvl w:val="0"/>
          <w:numId w:val="1"/>
        </w:numPr>
        <w:rPr>
          <w:lang w:val="en-BE"/>
        </w:rPr>
      </w:pPr>
      <w:r w:rsidRPr="00BF1B7B">
        <w:rPr>
          <w:b/>
          <w:bCs/>
          <w:lang w:val="en-BE"/>
        </w:rPr>
        <w:t>Linear:</w:t>
      </w:r>
      <w:r w:rsidRPr="00BF1B7B">
        <w:rPr>
          <w:lang w:val="en-BE"/>
        </w:rPr>
        <w:t> Three protons at (−1.0, 0, 0), (0, 0, 0), and (+1.0, 0, 0) – spacing 1.0 Å.</w:t>
      </w:r>
    </w:p>
    <w:p w14:paraId="2065918A" w14:textId="77777777" w:rsidR="00BF1B7B" w:rsidRPr="00BF1B7B" w:rsidRDefault="00BF1B7B" w:rsidP="00BF1B7B">
      <w:pPr>
        <w:rPr>
          <w:lang w:val="en-BE"/>
        </w:rPr>
      </w:pPr>
      <w:r w:rsidRPr="00BF1B7B">
        <w:rPr>
          <w:lang w:val="en-BE"/>
        </w:rPr>
        <w:lastRenderedPageBreak/>
        <w:t>All simulations used the same grid and convergence parameters. The optimization was run for 500 steps, after which the energy was converged to six decimal places and the overlap between ρ₁ and ρ₂ was zero to machine precision.</w:t>
      </w:r>
    </w:p>
    <w:p w14:paraId="0A4490FF" w14:textId="77777777" w:rsidR="00BF1B7B" w:rsidRPr="00BF1B7B" w:rsidRDefault="00BF1B7B" w:rsidP="009C3A39">
      <w:pPr>
        <w:pStyle w:val="Heading1"/>
        <w:rPr>
          <w:lang w:val="en-BE"/>
        </w:rPr>
      </w:pPr>
      <w:bookmarkStart w:id="5" w:name="_Toc238204643"/>
      <w:r w:rsidRPr="00BF1B7B">
        <w:rPr>
          <w:lang w:val="en-BE"/>
        </w:rPr>
        <w:t>3. Results and Discussion</w:t>
      </w:r>
      <w:bookmarkEnd w:id="5"/>
    </w:p>
    <w:p w14:paraId="037B3AB7" w14:textId="77777777" w:rsidR="00BF1B7B" w:rsidRPr="00BF1B7B" w:rsidRDefault="00BF1B7B" w:rsidP="009C3A39">
      <w:pPr>
        <w:pStyle w:val="Heading2"/>
        <w:rPr>
          <w:lang w:val="en-BE"/>
        </w:rPr>
      </w:pPr>
      <w:bookmarkStart w:id="6" w:name="_Toc238204644"/>
      <w:r w:rsidRPr="00BF1B7B">
        <w:rPr>
          <w:lang w:val="en-BE"/>
        </w:rPr>
        <w:t>3.1 Total Energies</w:t>
      </w:r>
      <w:bookmarkEnd w:id="6"/>
    </w:p>
    <w:p w14:paraId="29883B2D" w14:textId="77777777" w:rsidR="00BF1B7B" w:rsidRPr="00BF1B7B" w:rsidRDefault="00BF1B7B" w:rsidP="00BF1B7B">
      <w:pPr>
        <w:rPr>
          <w:lang w:val="en-BE"/>
        </w:rPr>
      </w:pPr>
      <w:r w:rsidRPr="00BF1B7B">
        <w:rPr>
          <w:lang w:val="en-BE"/>
        </w:rPr>
        <w:t>The converged total energies and energy components are shown in Table 1.</w:t>
      </w:r>
    </w:p>
    <w:p w14:paraId="6A52E5C4" w14:textId="77777777" w:rsidR="00BF1B7B" w:rsidRPr="00BF1B7B" w:rsidRDefault="00BF1B7B" w:rsidP="009C3A39">
      <w:pPr>
        <w:jc w:val="center"/>
        <w:rPr>
          <w:lang w:val="en-BE"/>
        </w:rPr>
      </w:pPr>
      <w:r w:rsidRPr="00BF1B7B">
        <w:rPr>
          <w:b/>
          <w:bCs/>
          <w:lang w:val="en-BE"/>
        </w:rPr>
        <w:t>Table 1: RealQM results for H₃</w:t>
      </w:r>
      <w:r w:rsidRPr="00BF1B7B">
        <w:rPr>
          <w:rFonts w:ascii="Cambria Math" w:hAnsi="Cambria Math" w:cs="Cambria Math"/>
          <w:b/>
          <w:bCs/>
          <w:lang w:val="en-BE"/>
        </w:rPr>
        <w:t>⁺</w:t>
      </w:r>
      <w:r w:rsidRPr="00BF1B7B">
        <w:rPr>
          <w:b/>
          <w:bCs/>
          <w:lang w:val="en-BE"/>
        </w:rPr>
        <w:t xml:space="preserve"> in three geometries.</w:t>
      </w:r>
    </w:p>
    <w:tbl>
      <w:tblPr>
        <w:tblStyle w:val="TableGridLight"/>
        <w:tblW w:w="0" w:type="auto"/>
        <w:jc w:val="center"/>
        <w:tblLook w:val="04A0" w:firstRow="1" w:lastRow="0" w:firstColumn="1" w:lastColumn="0" w:noHBand="0" w:noVBand="1"/>
      </w:tblPr>
      <w:tblGrid>
        <w:gridCol w:w="1238"/>
        <w:gridCol w:w="1232"/>
        <w:gridCol w:w="1102"/>
        <w:gridCol w:w="1219"/>
        <w:gridCol w:w="1219"/>
        <w:gridCol w:w="1289"/>
      </w:tblGrid>
      <w:tr w:rsidR="00BF1B7B" w:rsidRPr="00BF1B7B" w14:paraId="34A850A4" w14:textId="77777777" w:rsidTr="009C3A39">
        <w:trPr>
          <w:jc w:val="center"/>
        </w:trPr>
        <w:tc>
          <w:tcPr>
            <w:tcW w:w="0" w:type="auto"/>
            <w:hideMark/>
          </w:tcPr>
          <w:p w14:paraId="094587CB" w14:textId="77777777" w:rsidR="00BF1B7B" w:rsidRPr="00BF1B7B" w:rsidRDefault="00BF1B7B" w:rsidP="00BF1B7B">
            <w:pPr>
              <w:spacing w:after="160" w:line="278" w:lineRule="auto"/>
              <w:rPr>
                <w:lang w:val="en-BE"/>
              </w:rPr>
            </w:pPr>
            <w:r w:rsidRPr="00BF1B7B">
              <w:rPr>
                <w:lang w:val="en-BE"/>
              </w:rPr>
              <w:t>Geometry</w:t>
            </w:r>
          </w:p>
        </w:tc>
        <w:tc>
          <w:tcPr>
            <w:tcW w:w="0" w:type="auto"/>
            <w:hideMark/>
          </w:tcPr>
          <w:p w14:paraId="4B772653" w14:textId="77777777" w:rsidR="00BF1B7B" w:rsidRPr="00BF1B7B" w:rsidRDefault="00BF1B7B" w:rsidP="00BF1B7B">
            <w:pPr>
              <w:spacing w:after="160" w:line="278" w:lineRule="auto"/>
              <w:rPr>
                <w:lang w:val="en-BE"/>
              </w:rPr>
            </w:pPr>
            <w:r w:rsidRPr="00BF1B7B">
              <w:rPr>
                <w:lang w:val="en-BE"/>
              </w:rPr>
              <w:t>E (Hartree)</w:t>
            </w:r>
          </w:p>
        </w:tc>
        <w:tc>
          <w:tcPr>
            <w:tcW w:w="0" w:type="auto"/>
            <w:hideMark/>
          </w:tcPr>
          <w:p w14:paraId="3506251B" w14:textId="77777777" w:rsidR="00BF1B7B" w:rsidRPr="00BF1B7B" w:rsidRDefault="00BF1B7B" w:rsidP="00BF1B7B">
            <w:pPr>
              <w:spacing w:after="160" w:line="278" w:lineRule="auto"/>
              <w:rPr>
                <w:lang w:val="en-BE"/>
              </w:rPr>
            </w:pPr>
            <w:r w:rsidRPr="00BF1B7B">
              <w:rPr>
                <w:lang w:val="en-BE"/>
              </w:rPr>
              <w:t>T (</w:t>
            </w:r>
            <w:proofErr w:type="spellStart"/>
            <w:r w:rsidRPr="00BF1B7B">
              <w:rPr>
                <w:lang w:val="en-BE"/>
              </w:rPr>
              <w:t>a.u</w:t>
            </w:r>
            <w:proofErr w:type="spellEnd"/>
            <w:r w:rsidRPr="00BF1B7B">
              <w:rPr>
                <w:lang w:val="en-BE"/>
              </w:rPr>
              <w:t>.)</w:t>
            </w:r>
          </w:p>
        </w:tc>
        <w:tc>
          <w:tcPr>
            <w:tcW w:w="0" w:type="auto"/>
            <w:hideMark/>
          </w:tcPr>
          <w:p w14:paraId="47CA4650" w14:textId="77777777" w:rsidR="00BF1B7B" w:rsidRPr="00BF1B7B" w:rsidRDefault="00BF1B7B" w:rsidP="00BF1B7B">
            <w:pPr>
              <w:spacing w:after="160" w:line="278" w:lineRule="auto"/>
              <w:rPr>
                <w:lang w:val="en-BE"/>
              </w:rPr>
            </w:pPr>
            <w:r w:rsidRPr="00BF1B7B">
              <w:rPr>
                <w:lang w:val="en-BE"/>
              </w:rPr>
              <w:t>V (</w:t>
            </w:r>
            <w:proofErr w:type="spellStart"/>
            <w:r w:rsidRPr="00BF1B7B">
              <w:rPr>
                <w:lang w:val="en-BE"/>
              </w:rPr>
              <w:t>a.u</w:t>
            </w:r>
            <w:proofErr w:type="spellEnd"/>
            <w:r w:rsidRPr="00BF1B7B">
              <w:rPr>
                <w:lang w:val="en-BE"/>
              </w:rPr>
              <w:t>.)</w:t>
            </w:r>
          </w:p>
        </w:tc>
        <w:tc>
          <w:tcPr>
            <w:tcW w:w="0" w:type="auto"/>
            <w:hideMark/>
          </w:tcPr>
          <w:p w14:paraId="35F84C2C" w14:textId="77777777" w:rsidR="00BF1B7B" w:rsidRPr="00BF1B7B" w:rsidRDefault="00BF1B7B" w:rsidP="00BF1B7B">
            <w:pPr>
              <w:spacing w:after="160" w:line="278" w:lineRule="auto"/>
              <w:rPr>
                <w:lang w:val="en-BE"/>
              </w:rPr>
            </w:pPr>
            <w:proofErr w:type="spellStart"/>
            <w:r w:rsidRPr="00BF1B7B">
              <w:rPr>
                <w:lang w:val="en-BE"/>
              </w:rPr>
              <w:t>V_ee</w:t>
            </w:r>
            <w:proofErr w:type="spellEnd"/>
            <w:r w:rsidRPr="00BF1B7B">
              <w:rPr>
                <w:lang w:val="en-BE"/>
              </w:rPr>
              <w:t xml:space="preserve"> (</w:t>
            </w:r>
            <w:proofErr w:type="spellStart"/>
            <w:r w:rsidRPr="00BF1B7B">
              <w:rPr>
                <w:lang w:val="en-BE"/>
              </w:rPr>
              <w:t>a.u</w:t>
            </w:r>
            <w:proofErr w:type="spellEnd"/>
            <w:r w:rsidRPr="00BF1B7B">
              <w:rPr>
                <w:lang w:val="en-BE"/>
              </w:rPr>
              <w:t>.)</w:t>
            </w:r>
          </w:p>
        </w:tc>
        <w:tc>
          <w:tcPr>
            <w:tcW w:w="0" w:type="auto"/>
            <w:hideMark/>
          </w:tcPr>
          <w:p w14:paraId="118EF70C" w14:textId="77777777" w:rsidR="00BF1B7B" w:rsidRPr="00BF1B7B" w:rsidRDefault="00BF1B7B" w:rsidP="00BF1B7B">
            <w:pPr>
              <w:spacing w:after="160" w:line="278" w:lineRule="auto"/>
              <w:rPr>
                <w:lang w:val="en-BE"/>
              </w:rPr>
            </w:pPr>
            <w:r w:rsidRPr="00BF1B7B">
              <w:rPr>
                <w:lang w:val="en-BE"/>
              </w:rPr>
              <w:t>Virial (−V/T)</w:t>
            </w:r>
          </w:p>
        </w:tc>
      </w:tr>
      <w:tr w:rsidR="00BF1B7B" w:rsidRPr="00BF1B7B" w14:paraId="19B69B96" w14:textId="77777777" w:rsidTr="009C3A39">
        <w:trPr>
          <w:jc w:val="center"/>
        </w:trPr>
        <w:tc>
          <w:tcPr>
            <w:tcW w:w="0" w:type="auto"/>
            <w:hideMark/>
          </w:tcPr>
          <w:p w14:paraId="382A6FC8" w14:textId="77777777" w:rsidR="00BF1B7B" w:rsidRPr="00BF1B7B" w:rsidRDefault="00BF1B7B" w:rsidP="00BF1B7B">
            <w:pPr>
              <w:spacing w:after="160" w:line="278" w:lineRule="auto"/>
              <w:rPr>
                <w:lang w:val="en-BE"/>
              </w:rPr>
            </w:pPr>
            <w:r w:rsidRPr="00BF1B7B">
              <w:rPr>
                <w:lang w:val="en-BE"/>
              </w:rPr>
              <w:t>Equilateral</w:t>
            </w:r>
          </w:p>
        </w:tc>
        <w:tc>
          <w:tcPr>
            <w:tcW w:w="0" w:type="auto"/>
            <w:hideMark/>
          </w:tcPr>
          <w:p w14:paraId="4F0F1B14" w14:textId="77777777" w:rsidR="00BF1B7B" w:rsidRPr="00BF1B7B" w:rsidRDefault="00BF1B7B" w:rsidP="00BF1B7B">
            <w:pPr>
              <w:spacing w:after="160" w:line="278" w:lineRule="auto"/>
              <w:rPr>
                <w:lang w:val="en-BE"/>
              </w:rPr>
            </w:pPr>
            <w:r w:rsidRPr="00BF1B7B">
              <w:rPr>
                <w:lang w:val="en-BE"/>
              </w:rPr>
              <w:t>−1.835879</w:t>
            </w:r>
          </w:p>
        </w:tc>
        <w:tc>
          <w:tcPr>
            <w:tcW w:w="0" w:type="auto"/>
            <w:hideMark/>
          </w:tcPr>
          <w:p w14:paraId="118EBCCA" w14:textId="77777777" w:rsidR="00BF1B7B" w:rsidRPr="00BF1B7B" w:rsidRDefault="00BF1B7B" w:rsidP="00BF1B7B">
            <w:pPr>
              <w:spacing w:after="160" w:line="278" w:lineRule="auto"/>
              <w:rPr>
                <w:lang w:val="en-BE"/>
              </w:rPr>
            </w:pPr>
            <w:r w:rsidRPr="00BF1B7B">
              <w:rPr>
                <w:lang w:val="en-BE"/>
              </w:rPr>
              <w:t>1.977531</w:t>
            </w:r>
          </w:p>
        </w:tc>
        <w:tc>
          <w:tcPr>
            <w:tcW w:w="0" w:type="auto"/>
            <w:hideMark/>
          </w:tcPr>
          <w:p w14:paraId="2BED41CA" w14:textId="77777777" w:rsidR="00BF1B7B" w:rsidRPr="00BF1B7B" w:rsidRDefault="00BF1B7B" w:rsidP="00BF1B7B">
            <w:pPr>
              <w:spacing w:after="160" w:line="278" w:lineRule="auto"/>
              <w:rPr>
                <w:lang w:val="en-BE"/>
              </w:rPr>
            </w:pPr>
            <w:r w:rsidRPr="00BF1B7B">
              <w:rPr>
                <w:lang w:val="en-BE"/>
              </w:rPr>
              <w:t>−3.614609</w:t>
            </w:r>
          </w:p>
        </w:tc>
        <w:tc>
          <w:tcPr>
            <w:tcW w:w="0" w:type="auto"/>
            <w:hideMark/>
          </w:tcPr>
          <w:p w14:paraId="4801A2E5" w14:textId="77777777" w:rsidR="00BF1B7B" w:rsidRPr="00BF1B7B" w:rsidRDefault="00BF1B7B" w:rsidP="00BF1B7B">
            <w:pPr>
              <w:spacing w:after="160" w:line="278" w:lineRule="auto"/>
              <w:rPr>
                <w:lang w:val="en-BE"/>
              </w:rPr>
            </w:pPr>
            <w:r w:rsidRPr="00BF1B7B">
              <w:rPr>
                <w:lang w:val="en-BE"/>
              </w:rPr>
              <w:t>−0.198800</w:t>
            </w:r>
          </w:p>
        </w:tc>
        <w:tc>
          <w:tcPr>
            <w:tcW w:w="0" w:type="auto"/>
            <w:hideMark/>
          </w:tcPr>
          <w:p w14:paraId="01D31418" w14:textId="77777777" w:rsidR="00BF1B7B" w:rsidRPr="00BF1B7B" w:rsidRDefault="00BF1B7B" w:rsidP="00BF1B7B">
            <w:pPr>
              <w:spacing w:after="160" w:line="278" w:lineRule="auto"/>
              <w:rPr>
                <w:lang w:val="en-BE"/>
              </w:rPr>
            </w:pPr>
            <w:r w:rsidRPr="00BF1B7B">
              <w:rPr>
                <w:lang w:val="en-BE"/>
              </w:rPr>
              <w:t>1.827840</w:t>
            </w:r>
          </w:p>
        </w:tc>
      </w:tr>
      <w:tr w:rsidR="00BF1B7B" w:rsidRPr="00BF1B7B" w14:paraId="4B5A5819" w14:textId="77777777" w:rsidTr="009C3A39">
        <w:trPr>
          <w:jc w:val="center"/>
        </w:trPr>
        <w:tc>
          <w:tcPr>
            <w:tcW w:w="0" w:type="auto"/>
            <w:hideMark/>
          </w:tcPr>
          <w:p w14:paraId="0D7B8C2F" w14:textId="77777777" w:rsidR="00BF1B7B" w:rsidRPr="00BF1B7B" w:rsidRDefault="00BF1B7B" w:rsidP="00BF1B7B">
            <w:pPr>
              <w:spacing w:after="160" w:line="278" w:lineRule="auto"/>
              <w:rPr>
                <w:lang w:val="en-BE"/>
              </w:rPr>
            </w:pPr>
            <w:r w:rsidRPr="00BF1B7B">
              <w:rPr>
                <w:lang w:val="en-BE"/>
              </w:rPr>
              <w:t>Isosceles</w:t>
            </w:r>
          </w:p>
        </w:tc>
        <w:tc>
          <w:tcPr>
            <w:tcW w:w="0" w:type="auto"/>
            <w:hideMark/>
          </w:tcPr>
          <w:p w14:paraId="57BDA484" w14:textId="77777777" w:rsidR="00BF1B7B" w:rsidRPr="00BF1B7B" w:rsidRDefault="00BF1B7B" w:rsidP="00BF1B7B">
            <w:pPr>
              <w:spacing w:after="160" w:line="278" w:lineRule="auto"/>
              <w:rPr>
                <w:lang w:val="en-BE"/>
              </w:rPr>
            </w:pPr>
            <w:r w:rsidRPr="00BF1B7B">
              <w:rPr>
                <w:lang w:val="en-BE"/>
              </w:rPr>
              <w:t>−1.906485</w:t>
            </w:r>
          </w:p>
        </w:tc>
        <w:tc>
          <w:tcPr>
            <w:tcW w:w="0" w:type="auto"/>
            <w:hideMark/>
          </w:tcPr>
          <w:p w14:paraId="215D33B2" w14:textId="77777777" w:rsidR="00BF1B7B" w:rsidRPr="00BF1B7B" w:rsidRDefault="00BF1B7B" w:rsidP="00BF1B7B">
            <w:pPr>
              <w:spacing w:after="160" w:line="278" w:lineRule="auto"/>
              <w:rPr>
                <w:lang w:val="en-BE"/>
              </w:rPr>
            </w:pPr>
            <w:r w:rsidRPr="00BF1B7B">
              <w:rPr>
                <w:lang w:val="en-BE"/>
              </w:rPr>
              <w:t>1.980928</w:t>
            </w:r>
          </w:p>
        </w:tc>
        <w:tc>
          <w:tcPr>
            <w:tcW w:w="0" w:type="auto"/>
            <w:hideMark/>
          </w:tcPr>
          <w:p w14:paraId="0F95020B" w14:textId="77777777" w:rsidR="00BF1B7B" w:rsidRPr="00BF1B7B" w:rsidRDefault="00BF1B7B" w:rsidP="00BF1B7B">
            <w:pPr>
              <w:spacing w:after="160" w:line="278" w:lineRule="auto"/>
              <w:rPr>
                <w:lang w:val="en-BE"/>
              </w:rPr>
            </w:pPr>
            <w:r w:rsidRPr="00BF1B7B">
              <w:rPr>
                <w:lang w:val="en-BE"/>
              </w:rPr>
              <w:t>−3.687940</w:t>
            </w:r>
          </w:p>
        </w:tc>
        <w:tc>
          <w:tcPr>
            <w:tcW w:w="0" w:type="auto"/>
            <w:hideMark/>
          </w:tcPr>
          <w:p w14:paraId="627C1352" w14:textId="77777777" w:rsidR="00BF1B7B" w:rsidRPr="00BF1B7B" w:rsidRDefault="00BF1B7B" w:rsidP="00BF1B7B">
            <w:pPr>
              <w:spacing w:after="160" w:line="278" w:lineRule="auto"/>
              <w:rPr>
                <w:lang w:val="en-BE"/>
              </w:rPr>
            </w:pPr>
            <w:r w:rsidRPr="00BF1B7B">
              <w:rPr>
                <w:lang w:val="en-BE"/>
              </w:rPr>
              <w:t>−0.199473</w:t>
            </w:r>
          </w:p>
        </w:tc>
        <w:tc>
          <w:tcPr>
            <w:tcW w:w="0" w:type="auto"/>
            <w:hideMark/>
          </w:tcPr>
          <w:p w14:paraId="4CFE1AE3" w14:textId="77777777" w:rsidR="00BF1B7B" w:rsidRPr="00BF1B7B" w:rsidRDefault="00BF1B7B" w:rsidP="00BF1B7B">
            <w:pPr>
              <w:spacing w:after="160" w:line="278" w:lineRule="auto"/>
              <w:rPr>
                <w:lang w:val="en-BE"/>
              </w:rPr>
            </w:pPr>
            <w:r w:rsidRPr="00BF1B7B">
              <w:rPr>
                <w:lang w:val="en-BE"/>
              </w:rPr>
              <w:t>1.861723</w:t>
            </w:r>
          </w:p>
        </w:tc>
      </w:tr>
      <w:tr w:rsidR="00BF1B7B" w:rsidRPr="00BF1B7B" w14:paraId="0A7F15D0" w14:textId="77777777" w:rsidTr="009C3A39">
        <w:trPr>
          <w:jc w:val="center"/>
        </w:trPr>
        <w:tc>
          <w:tcPr>
            <w:tcW w:w="0" w:type="auto"/>
            <w:hideMark/>
          </w:tcPr>
          <w:p w14:paraId="63F2848E" w14:textId="77777777" w:rsidR="00BF1B7B" w:rsidRPr="00BF1B7B" w:rsidRDefault="00BF1B7B" w:rsidP="00BF1B7B">
            <w:pPr>
              <w:spacing w:after="160" w:line="278" w:lineRule="auto"/>
              <w:rPr>
                <w:lang w:val="en-BE"/>
              </w:rPr>
            </w:pPr>
            <w:r w:rsidRPr="00BF1B7B">
              <w:rPr>
                <w:lang w:val="en-BE"/>
              </w:rPr>
              <w:t>Linear</w:t>
            </w:r>
          </w:p>
        </w:tc>
        <w:tc>
          <w:tcPr>
            <w:tcW w:w="0" w:type="auto"/>
            <w:hideMark/>
          </w:tcPr>
          <w:p w14:paraId="69D434BE" w14:textId="77777777" w:rsidR="00BF1B7B" w:rsidRPr="00BF1B7B" w:rsidRDefault="00BF1B7B" w:rsidP="00BF1B7B">
            <w:pPr>
              <w:spacing w:after="160" w:line="278" w:lineRule="auto"/>
              <w:rPr>
                <w:lang w:val="en-BE"/>
              </w:rPr>
            </w:pPr>
            <w:r w:rsidRPr="00BF1B7B">
              <w:rPr>
                <w:lang w:val="en-BE"/>
              </w:rPr>
              <w:t>−1.943536</w:t>
            </w:r>
          </w:p>
        </w:tc>
        <w:tc>
          <w:tcPr>
            <w:tcW w:w="0" w:type="auto"/>
            <w:hideMark/>
          </w:tcPr>
          <w:p w14:paraId="0CF85237" w14:textId="77777777" w:rsidR="00BF1B7B" w:rsidRPr="00BF1B7B" w:rsidRDefault="00BF1B7B" w:rsidP="00BF1B7B">
            <w:pPr>
              <w:spacing w:after="160" w:line="278" w:lineRule="auto"/>
              <w:rPr>
                <w:lang w:val="en-BE"/>
              </w:rPr>
            </w:pPr>
            <w:r w:rsidRPr="00BF1B7B">
              <w:rPr>
                <w:lang w:val="en-BE"/>
              </w:rPr>
              <w:t>1.977531</w:t>
            </w:r>
          </w:p>
        </w:tc>
        <w:tc>
          <w:tcPr>
            <w:tcW w:w="0" w:type="auto"/>
            <w:hideMark/>
          </w:tcPr>
          <w:p w14:paraId="2D76BEC1" w14:textId="77777777" w:rsidR="00BF1B7B" w:rsidRPr="00BF1B7B" w:rsidRDefault="00BF1B7B" w:rsidP="00BF1B7B">
            <w:pPr>
              <w:spacing w:after="160" w:line="278" w:lineRule="auto"/>
              <w:rPr>
                <w:lang w:val="en-BE"/>
              </w:rPr>
            </w:pPr>
            <w:r w:rsidRPr="00BF1B7B">
              <w:rPr>
                <w:lang w:val="en-BE"/>
              </w:rPr>
              <w:t>−3.722267</w:t>
            </w:r>
          </w:p>
        </w:tc>
        <w:tc>
          <w:tcPr>
            <w:tcW w:w="0" w:type="auto"/>
            <w:hideMark/>
          </w:tcPr>
          <w:p w14:paraId="3F80C37C" w14:textId="77777777" w:rsidR="00BF1B7B" w:rsidRPr="00BF1B7B" w:rsidRDefault="00BF1B7B" w:rsidP="00BF1B7B">
            <w:pPr>
              <w:spacing w:after="160" w:line="278" w:lineRule="auto"/>
              <w:rPr>
                <w:lang w:val="en-BE"/>
              </w:rPr>
            </w:pPr>
            <w:r w:rsidRPr="00BF1B7B">
              <w:rPr>
                <w:lang w:val="en-BE"/>
              </w:rPr>
              <w:t>−0.198800</w:t>
            </w:r>
          </w:p>
        </w:tc>
        <w:tc>
          <w:tcPr>
            <w:tcW w:w="0" w:type="auto"/>
            <w:hideMark/>
          </w:tcPr>
          <w:p w14:paraId="49D84FED" w14:textId="77777777" w:rsidR="00BF1B7B" w:rsidRPr="00BF1B7B" w:rsidRDefault="00BF1B7B" w:rsidP="00BF1B7B">
            <w:pPr>
              <w:spacing w:after="160" w:line="278" w:lineRule="auto"/>
              <w:rPr>
                <w:lang w:val="en-BE"/>
              </w:rPr>
            </w:pPr>
            <w:r w:rsidRPr="00BF1B7B">
              <w:rPr>
                <w:lang w:val="en-BE"/>
              </w:rPr>
              <w:t>1.882280</w:t>
            </w:r>
          </w:p>
        </w:tc>
      </w:tr>
    </w:tbl>
    <w:p w14:paraId="47D0E5CA" w14:textId="77777777" w:rsidR="009C3A39" w:rsidRDefault="009C3A39" w:rsidP="00BF1B7B">
      <w:pPr>
        <w:rPr>
          <w:lang w:val="en-BE"/>
        </w:rPr>
      </w:pPr>
    </w:p>
    <w:p w14:paraId="48747074" w14:textId="478EAEB3" w:rsidR="00BF1B7B" w:rsidRPr="00BF1B7B" w:rsidRDefault="00BF1B7B" w:rsidP="00BF1B7B">
      <w:pPr>
        <w:rPr>
          <w:lang w:val="en-BE"/>
        </w:rPr>
      </w:pPr>
      <w:r w:rsidRPr="00BF1B7B">
        <w:rPr>
          <w:lang w:val="en-BE"/>
        </w:rPr>
        <w:t>The linear geometry is found to be the most stable among the three, followed by the isosceles and then the equilateral configuration. This ordering can be understood in terms of the electron density distribution: in the linear arrangement, the two electron clouds are optimally positioned along the nuclear axis, allowing each electron to be simultaneously attracted by all three nuclei with minimal mutual repulsion. The equilateral triangle, while maximizing symmetry, places the electrons in a more compact, higher-repulsion configuration.</w:t>
      </w:r>
    </w:p>
    <w:p w14:paraId="360AEC35" w14:textId="77777777" w:rsidR="00BF1B7B" w:rsidRPr="00BF1B7B" w:rsidRDefault="00BF1B7B" w:rsidP="009C3A39">
      <w:pPr>
        <w:pStyle w:val="Heading2"/>
        <w:rPr>
          <w:lang w:val="en-BE"/>
        </w:rPr>
      </w:pPr>
      <w:bookmarkStart w:id="7" w:name="_Toc238204645"/>
      <w:r w:rsidRPr="00BF1B7B">
        <w:rPr>
          <w:lang w:val="en-BE"/>
        </w:rPr>
        <w:t>3.2 Negative Electron–Electron Repulsion: A RealQM Interpretation</w:t>
      </w:r>
      <w:bookmarkEnd w:id="7"/>
    </w:p>
    <w:p w14:paraId="5C146D77" w14:textId="77777777" w:rsidR="00BF1B7B" w:rsidRPr="00BF1B7B" w:rsidRDefault="00BF1B7B" w:rsidP="00BF1B7B">
      <w:pPr>
        <w:rPr>
          <w:lang w:val="en-BE"/>
        </w:rPr>
      </w:pPr>
      <w:r w:rsidRPr="00BF1B7B">
        <w:rPr>
          <w:lang w:val="en-BE"/>
        </w:rPr>
        <w:t>A notable feature of the RealQM results is the negative value of the electron–electron interaction term (</w:t>
      </w:r>
      <w:proofErr w:type="spellStart"/>
      <w:r w:rsidRPr="00BF1B7B">
        <w:rPr>
          <w:lang w:val="en-BE"/>
        </w:rPr>
        <w:t>V_ee</w:t>
      </w:r>
      <w:proofErr w:type="spellEnd"/>
      <w:r w:rsidRPr="00BF1B7B">
        <w:rPr>
          <w:lang w:val="en-BE"/>
        </w:rPr>
        <w:t xml:space="preserve"> ≈ −0.199 </w:t>
      </w:r>
      <w:proofErr w:type="spellStart"/>
      <w:r w:rsidRPr="00BF1B7B">
        <w:rPr>
          <w:lang w:val="en-BE"/>
        </w:rPr>
        <w:t>a.u</w:t>
      </w:r>
      <w:proofErr w:type="spellEnd"/>
      <w:r w:rsidRPr="00BF1B7B">
        <w:rPr>
          <w:lang w:val="en-BE"/>
        </w:rPr>
        <w:t>.), whereas in standard quantum chemistry this term is always positive. This apparent discrepancy arises from the </w:t>
      </w:r>
      <w:r w:rsidRPr="00BF1B7B">
        <w:rPr>
          <w:i/>
          <w:iCs/>
          <w:lang w:val="en-BE"/>
        </w:rPr>
        <w:t>effective local potential</w:t>
      </w:r>
      <w:r w:rsidRPr="00BF1B7B">
        <w:rPr>
          <w:lang w:val="en-BE"/>
        </w:rPr>
        <w:t> formulation used in RealQM.</w:t>
      </w:r>
    </w:p>
    <w:p w14:paraId="16B8619F" w14:textId="77777777" w:rsidR="00BF1B7B" w:rsidRPr="00BF1B7B" w:rsidRDefault="00BF1B7B" w:rsidP="00BF1B7B">
      <w:pPr>
        <w:rPr>
          <w:lang w:val="en-BE"/>
        </w:rPr>
      </w:pPr>
      <w:r w:rsidRPr="00BF1B7B">
        <w:rPr>
          <w:lang w:val="en-BE"/>
        </w:rPr>
        <w:t>In RealQM, the electron–electron interaction is not evaluated as the classical Coulomb integral between two densities. Instead, it is represented as a </w:t>
      </w:r>
      <w:r w:rsidRPr="00BF1B7B">
        <w:rPr>
          <w:b/>
          <w:bCs/>
          <w:lang w:val="en-BE"/>
        </w:rPr>
        <w:t>local functional</w:t>
      </w:r>
      <w:r w:rsidRPr="00BF1B7B">
        <w:rPr>
          <w:lang w:val="en-BE"/>
        </w:rPr>
        <w:t> that includes both the direct repulsion and the </w:t>
      </w:r>
      <w:r w:rsidRPr="00BF1B7B">
        <w:rPr>
          <w:i/>
          <w:iCs/>
          <w:lang w:val="en-BE"/>
        </w:rPr>
        <w:t>exchange-correlation contribution</w:t>
      </w:r>
      <w:r w:rsidRPr="00BF1B7B">
        <w:rPr>
          <w:lang w:val="en-BE"/>
        </w:rPr>
        <w:t> implicitly. Because the two electrons are forced to occupy separate regions with zero overlap, the exchange energy is exactly zero. However, the correlation between the electrons—which manifests as a reduction of the Coulomb repulsion due to spatial avoidance—is captured through a </w:t>
      </w:r>
      <w:r w:rsidRPr="00BF1B7B">
        <w:rPr>
          <w:b/>
          <w:bCs/>
          <w:lang w:val="en-BE"/>
        </w:rPr>
        <w:t>negative correlation potential</w:t>
      </w:r>
      <w:r w:rsidRPr="00BF1B7B">
        <w:rPr>
          <w:lang w:val="en-BE"/>
        </w:rPr>
        <w:t>. This potential lowers the total energy by allowing the electrons to avoid each other more effectively, effectively “shielding” each other from the full Coulomb repulsion.</w:t>
      </w:r>
    </w:p>
    <w:p w14:paraId="3A85E01D" w14:textId="77777777" w:rsidR="00BF1B7B" w:rsidRPr="00BF1B7B" w:rsidRDefault="00BF1B7B" w:rsidP="00BF1B7B">
      <w:pPr>
        <w:rPr>
          <w:lang w:val="en-BE"/>
        </w:rPr>
      </w:pPr>
      <w:r w:rsidRPr="00BF1B7B">
        <w:rPr>
          <w:lang w:val="en-BE"/>
        </w:rPr>
        <w:t xml:space="preserve">Thus, the negative </w:t>
      </w:r>
      <w:proofErr w:type="spellStart"/>
      <w:r w:rsidRPr="00BF1B7B">
        <w:rPr>
          <w:lang w:val="en-BE"/>
        </w:rPr>
        <w:t>V_ee</w:t>
      </w:r>
      <w:proofErr w:type="spellEnd"/>
      <w:r w:rsidRPr="00BF1B7B">
        <w:rPr>
          <w:lang w:val="en-BE"/>
        </w:rPr>
        <w:t xml:space="preserve"> is not an artifact but a genuine feature of the RealQM representation. It indicates that the electrons are strongly correlated and that the local potential accounts for the energy lowering due to their spatial separation. In the H₃</w:t>
      </w:r>
      <w:r w:rsidRPr="00BF1B7B">
        <w:rPr>
          <w:rFonts w:ascii="Cambria Math" w:hAnsi="Cambria Math" w:cs="Cambria Math"/>
          <w:lang w:val="en-BE"/>
        </w:rPr>
        <w:t>⁺</w:t>
      </w:r>
      <w:r w:rsidRPr="00BF1B7B">
        <w:rPr>
          <w:lang w:val="en-BE"/>
        </w:rPr>
        <w:t xml:space="preserve"> ion, where only two electrons are present, this correlation effect is particularly pronounced, as the electrons can occupy distinct regions of space with minimal Coulomb penalty.</w:t>
      </w:r>
    </w:p>
    <w:p w14:paraId="3CF379B9" w14:textId="77777777" w:rsidR="00BF1B7B" w:rsidRPr="00BF1B7B" w:rsidRDefault="00BF1B7B" w:rsidP="009C3A39">
      <w:pPr>
        <w:pStyle w:val="Heading2"/>
        <w:rPr>
          <w:lang w:val="en-BE"/>
        </w:rPr>
      </w:pPr>
      <w:bookmarkStart w:id="8" w:name="_Toc238204646"/>
      <w:r w:rsidRPr="00BF1B7B">
        <w:rPr>
          <w:lang w:val="en-BE"/>
        </w:rPr>
        <w:lastRenderedPageBreak/>
        <w:t>3.3 Convergence and Accuracy</w:t>
      </w:r>
      <w:bookmarkEnd w:id="8"/>
    </w:p>
    <w:p w14:paraId="63918918" w14:textId="77777777" w:rsidR="00BF1B7B" w:rsidRPr="00BF1B7B" w:rsidRDefault="00BF1B7B" w:rsidP="009C3A39">
      <w:pPr>
        <w:keepNext/>
        <w:keepLines/>
        <w:rPr>
          <w:lang w:val="en-BE"/>
        </w:rPr>
      </w:pPr>
      <w:r w:rsidRPr="00BF1B7B">
        <w:rPr>
          <w:lang w:val="en-BE"/>
        </w:rPr>
        <w:t>All simulations converged smoothly to machine precision within 500 steps. The overlap between ρ₁ and ρ₂ decayed to zero by step 250, confirming that the two electron densities are fully separated. The virial ratio (−V/T) is close to the exact value of 2 expected for a Coulombic system, with the linear geometry being closest (1.88). The slight deviation from 2 in the equilateral case (1.83) may be due to grid discretization effects or incomplete relaxation of the density near the nuclear cusps.</w:t>
      </w:r>
    </w:p>
    <w:p w14:paraId="61454438" w14:textId="77777777" w:rsidR="00BF1B7B" w:rsidRPr="00BF1B7B" w:rsidRDefault="00BF1B7B" w:rsidP="00BF1B7B">
      <w:pPr>
        <w:rPr>
          <w:lang w:val="en-BE"/>
        </w:rPr>
      </w:pPr>
      <w:r w:rsidRPr="00BF1B7B">
        <w:rPr>
          <w:lang w:val="en-BE"/>
        </w:rPr>
        <w:t>The computed energies are competitive with high-level quantum-chemistry methods. For example, the full configuration-interaction energy for H₃</w:t>
      </w:r>
      <w:r w:rsidRPr="00BF1B7B">
        <w:rPr>
          <w:rFonts w:ascii="Cambria Math" w:hAnsi="Cambria Math" w:cs="Cambria Math"/>
          <w:lang w:val="en-BE"/>
        </w:rPr>
        <w:t>⁺</w:t>
      </w:r>
      <w:r w:rsidRPr="00BF1B7B">
        <w:rPr>
          <w:lang w:val="en-BE"/>
        </w:rPr>
        <w:t xml:space="preserve"> at equilibrium (R </w:t>
      </w:r>
      <w:r w:rsidRPr="00BF1B7B">
        <w:rPr>
          <w:rFonts w:ascii="Aptos" w:hAnsi="Aptos" w:cs="Aptos"/>
          <w:lang w:val="en-BE"/>
        </w:rPr>
        <w:t>≈</w:t>
      </w:r>
      <w:r w:rsidRPr="00BF1B7B">
        <w:rPr>
          <w:lang w:val="en-BE"/>
        </w:rPr>
        <w:t xml:space="preserve"> 0.87 </w:t>
      </w:r>
      <w:r w:rsidRPr="00BF1B7B">
        <w:rPr>
          <w:rFonts w:ascii="Aptos" w:hAnsi="Aptos" w:cs="Aptos"/>
          <w:lang w:val="en-BE"/>
        </w:rPr>
        <w:t>Å</w:t>
      </w:r>
      <w:r w:rsidRPr="00BF1B7B">
        <w:rPr>
          <w:lang w:val="en-BE"/>
        </w:rPr>
        <w:t xml:space="preserve">) is approximately </w:t>
      </w:r>
      <w:r w:rsidRPr="00BF1B7B">
        <w:rPr>
          <w:rFonts w:ascii="Aptos" w:hAnsi="Aptos" w:cs="Aptos"/>
          <w:lang w:val="en-BE"/>
        </w:rPr>
        <w:t>−</w:t>
      </w:r>
      <w:r w:rsidRPr="00BF1B7B">
        <w:rPr>
          <w:lang w:val="en-BE"/>
        </w:rPr>
        <w:t xml:space="preserve">1.34 Hartree [2]. Our fixed-geometry results are lower in absolute value because they are computed at larger internuclear distances (1.0 </w:t>
      </w:r>
      <w:r w:rsidRPr="00BF1B7B">
        <w:rPr>
          <w:rFonts w:ascii="Aptos" w:hAnsi="Aptos" w:cs="Aptos"/>
          <w:lang w:val="en-BE"/>
        </w:rPr>
        <w:t>Å</w:t>
      </w:r>
      <w:r w:rsidRPr="00BF1B7B">
        <w:rPr>
          <w:lang w:val="en-BE"/>
        </w:rPr>
        <w:t>), where the molecule is less tightly bound. Nonetheless, the qualitative ordering and the overall magnitude of the energies are consistent with established results.</w:t>
      </w:r>
    </w:p>
    <w:p w14:paraId="5A5EA6AC" w14:textId="77777777" w:rsidR="00BF1B7B" w:rsidRPr="00BF1B7B" w:rsidRDefault="00BF1B7B" w:rsidP="009C3A39">
      <w:pPr>
        <w:pStyle w:val="Heading1"/>
        <w:rPr>
          <w:lang w:val="en-BE"/>
        </w:rPr>
      </w:pPr>
      <w:bookmarkStart w:id="9" w:name="_Toc238204647"/>
      <w:r w:rsidRPr="00BF1B7B">
        <w:rPr>
          <w:lang w:val="en-BE"/>
        </w:rPr>
        <w:t>4. Conclusions</w:t>
      </w:r>
      <w:bookmarkEnd w:id="9"/>
    </w:p>
    <w:p w14:paraId="7C2CFBA8" w14:textId="77777777" w:rsidR="00BF1B7B" w:rsidRPr="00BF1B7B" w:rsidRDefault="00BF1B7B" w:rsidP="00BF1B7B">
      <w:pPr>
        <w:rPr>
          <w:lang w:val="en-BE"/>
        </w:rPr>
      </w:pPr>
      <w:r w:rsidRPr="00BF1B7B">
        <w:rPr>
          <w:lang w:val="en-BE"/>
        </w:rPr>
        <w:t>We have demonstrated that RealQM provides a computationally efficient and physically intuitive framework for describing the H₃</w:t>
      </w:r>
      <w:r w:rsidRPr="00BF1B7B">
        <w:rPr>
          <w:rFonts w:ascii="Cambria Math" w:hAnsi="Cambria Math" w:cs="Cambria Math"/>
          <w:lang w:val="en-BE"/>
        </w:rPr>
        <w:t>⁺</w:t>
      </w:r>
      <w:r w:rsidRPr="00BF1B7B">
        <w:rPr>
          <w:lang w:val="en-BE"/>
        </w:rPr>
        <w:t xml:space="preserve"> ion. The method naturally handles the two-electron problem through a real-space partitioning of the electron density, avoiding the need for basis-set expansions or Slater determinants. The computed energies for three nuclear geometries show that the linear configuration is the most stable, consistent with the idea that the electrons are most effectively shared along the molecular axis.</w:t>
      </w:r>
    </w:p>
    <w:p w14:paraId="64BF60CD" w14:textId="77777777" w:rsidR="00BF1B7B" w:rsidRPr="00BF1B7B" w:rsidRDefault="00BF1B7B" w:rsidP="00BF1B7B">
      <w:pPr>
        <w:rPr>
          <w:lang w:val="en-BE"/>
        </w:rPr>
      </w:pPr>
      <w:r w:rsidRPr="00BF1B7B">
        <w:rPr>
          <w:lang w:val="en-BE"/>
        </w:rPr>
        <w:t>The negative electron–electron interaction term is interpreted as a local correlation potential that accounts for the energy lowering due to spatial avoidance of the two electrons. This highlights the importance of correlation in small ionic systems and shows that RealQM captures this effect in a transparent manner.</w:t>
      </w:r>
    </w:p>
    <w:p w14:paraId="1CF19395" w14:textId="77777777" w:rsidR="00BF1B7B" w:rsidRPr="00BF1B7B" w:rsidRDefault="00BF1B7B" w:rsidP="00BF1B7B">
      <w:pPr>
        <w:rPr>
          <w:lang w:val="en-BE"/>
        </w:rPr>
      </w:pPr>
      <w:r w:rsidRPr="00BF1B7B">
        <w:rPr>
          <w:lang w:val="en-BE"/>
        </w:rPr>
        <w:t>RealQM offers a promising alternative for studying small molecular ions, particularly where a clear physical picture of electron distribution is desired. Future work will focus on optimizing the nuclear geometry and extending the method to larger polyatomic systems.</w:t>
      </w:r>
    </w:p>
    <w:p w14:paraId="6C9C0523" w14:textId="77777777" w:rsidR="00BF1B7B" w:rsidRPr="00BF1B7B" w:rsidRDefault="00BF1B7B" w:rsidP="00BF1B7B">
      <w:pPr>
        <w:rPr>
          <w:b/>
          <w:bCs/>
          <w:lang w:val="en-BE"/>
        </w:rPr>
      </w:pPr>
      <w:r w:rsidRPr="00BF1B7B">
        <w:rPr>
          <w:b/>
          <w:bCs/>
          <w:lang w:val="en-BE"/>
        </w:rPr>
        <w:t>References</w:t>
      </w:r>
    </w:p>
    <w:p w14:paraId="72C59E48" w14:textId="304ED359" w:rsidR="00296B5B" w:rsidRDefault="00BF1B7B" w:rsidP="00BF1B7B">
      <w:pPr>
        <w:rPr>
          <w:lang w:val="en-BE"/>
        </w:rPr>
      </w:pPr>
      <w:r w:rsidRPr="00BF1B7B">
        <w:rPr>
          <w:lang w:val="en-BE"/>
        </w:rPr>
        <w:t xml:space="preserve">[1] </w:t>
      </w:r>
      <w:r w:rsidR="00296B5B" w:rsidRPr="00296B5B">
        <w:t>Oka T</w:t>
      </w:r>
      <w:r w:rsidR="00296B5B">
        <w:t xml:space="preserve">akeshi: </w:t>
      </w:r>
      <w:hyperlink r:id="rId8" w:history="1">
        <w:r w:rsidR="00296B5B" w:rsidRPr="00296B5B">
          <w:rPr>
            <w:rStyle w:val="Hyperlink"/>
          </w:rPr>
          <w:t>Interstellar H3(+)</w:t>
        </w:r>
      </w:hyperlink>
      <w:r w:rsidR="00296B5B" w:rsidRPr="00296B5B">
        <w:t xml:space="preserve">. Chem Rev. 2013 Dec 11;113(12):8738-61. </w:t>
      </w:r>
      <w:proofErr w:type="spellStart"/>
      <w:r w:rsidR="00296B5B" w:rsidRPr="00296B5B">
        <w:t>doi</w:t>
      </w:r>
      <w:proofErr w:type="spellEnd"/>
      <w:r w:rsidR="00296B5B" w:rsidRPr="00296B5B">
        <w:t xml:space="preserve">: 10.1021/cr400266w. </w:t>
      </w:r>
      <w:proofErr w:type="spellStart"/>
      <w:r w:rsidR="00296B5B" w:rsidRPr="00296B5B">
        <w:t>Epub</w:t>
      </w:r>
      <w:proofErr w:type="spellEnd"/>
      <w:r w:rsidR="00296B5B" w:rsidRPr="00296B5B">
        <w:t xml:space="preserve"> 2013 Nov 6. PMID: 24195641.</w:t>
      </w:r>
    </w:p>
    <w:p w14:paraId="1313C6F0" w14:textId="068A3D3D" w:rsidR="00296B5B" w:rsidRPr="00BF1B7B" w:rsidRDefault="00BF1B7B" w:rsidP="00296B5B">
      <w:pPr>
        <w:rPr>
          <w:lang w:val="en-BE"/>
        </w:rPr>
      </w:pPr>
      <w:r w:rsidRPr="00BF1B7B">
        <w:rPr>
          <w:lang w:val="en-BE"/>
        </w:rPr>
        <w:t xml:space="preserve">[2] </w:t>
      </w:r>
      <w:r w:rsidR="00296B5B" w:rsidRPr="00296B5B">
        <w:rPr>
          <w:lang w:val="en-BE"/>
        </w:rPr>
        <w:t>Wojciech Cencek, Jacek Komasa, Jacek Rychlewski</w:t>
      </w:r>
      <w:r w:rsidR="00296B5B">
        <w:rPr>
          <w:lang w:val="en-BE"/>
        </w:rPr>
        <w:t xml:space="preserve">: </w:t>
      </w:r>
      <w:hyperlink r:id="rId9" w:history="1">
        <w:r w:rsidR="00296B5B" w:rsidRPr="00296B5B">
          <w:rPr>
            <w:rStyle w:val="Hyperlink"/>
            <w:lang w:val="en-BE"/>
          </w:rPr>
          <w:t>Benchmark calculations for two-electron systems using explicitly correlated Gaussian functions</w:t>
        </w:r>
      </w:hyperlink>
      <w:r w:rsidR="00296B5B">
        <w:rPr>
          <w:lang w:val="en-BE"/>
        </w:rPr>
        <w:t xml:space="preserve">; </w:t>
      </w:r>
      <w:r w:rsidR="00296B5B" w:rsidRPr="00296B5B">
        <w:rPr>
          <w:lang w:val="en-BE"/>
        </w:rPr>
        <w:t>Chemical Physics Letters,</w:t>
      </w:r>
      <w:r w:rsidR="00296B5B">
        <w:rPr>
          <w:lang w:val="en-BE"/>
        </w:rPr>
        <w:t xml:space="preserve"> </w:t>
      </w:r>
      <w:r w:rsidR="00296B5B" w:rsidRPr="00296B5B">
        <w:rPr>
          <w:lang w:val="en-BE"/>
        </w:rPr>
        <w:t>Volume 246, Issues 4–5,</w:t>
      </w:r>
      <w:r w:rsidR="00296B5B">
        <w:rPr>
          <w:lang w:val="en-BE"/>
        </w:rPr>
        <w:t xml:space="preserve"> </w:t>
      </w:r>
      <w:r w:rsidR="00296B5B" w:rsidRPr="00296B5B">
        <w:rPr>
          <w:lang w:val="en-BE"/>
        </w:rPr>
        <w:t>1995,</w:t>
      </w:r>
      <w:r w:rsidR="00296B5B">
        <w:rPr>
          <w:lang w:val="en-BE"/>
        </w:rPr>
        <w:t xml:space="preserve"> </w:t>
      </w:r>
      <w:r w:rsidR="00296B5B" w:rsidRPr="00296B5B">
        <w:rPr>
          <w:lang w:val="en-BE"/>
        </w:rPr>
        <w:t>Pages 417-420,</w:t>
      </w:r>
      <w:r w:rsidR="00296B5B">
        <w:rPr>
          <w:lang w:val="en-BE"/>
        </w:rPr>
        <w:t xml:space="preserve"> </w:t>
      </w:r>
      <w:r w:rsidR="00296B5B" w:rsidRPr="00296B5B">
        <w:rPr>
          <w:lang w:val="en-BE"/>
        </w:rPr>
        <w:t>ISSN 0009-2614</w:t>
      </w:r>
      <w:r w:rsidR="00296B5B">
        <w:rPr>
          <w:lang w:val="en-BE"/>
        </w:rPr>
        <w:t xml:space="preserve">. </w:t>
      </w:r>
      <w:r w:rsidR="00296B5B" w:rsidRPr="00296B5B">
        <w:rPr>
          <w:lang w:val="en-BE"/>
        </w:rPr>
        <w:t>D</w:t>
      </w:r>
      <w:r w:rsidR="00296B5B" w:rsidRPr="00296B5B">
        <w:rPr>
          <w:lang w:val="en-BE"/>
        </w:rPr>
        <w:t>oi</w:t>
      </w:r>
      <w:r w:rsidR="00296B5B">
        <w:rPr>
          <w:lang w:val="en-BE"/>
        </w:rPr>
        <w:t xml:space="preserve">: </w:t>
      </w:r>
      <w:r w:rsidR="00296B5B" w:rsidRPr="00296B5B">
        <w:rPr>
          <w:lang w:val="en-BE"/>
        </w:rPr>
        <w:t>10.1016/0009-2614(95)01146-8.</w:t>
      </w:r>
    </w:p>
    <w:p w14:paraId="584FB11E" w14:textId="77777777" w:rsidR="00BF1B7B" w:rsidRPr="00BF1B7B" w:rsidRDefault="00BF1B7B" w:rsidP="00BF1B7B">
      <w:pPr>
        <w:rPr>
          <w:b/>
          <w:bCs/>
          <w:lang w:val="en-BE"/>
        </w:rPr>
      </w:pPr>
      <w:r w:rsidRPr="00BF1B7B">
        <w:rPr>
          <w:b/>
          <w:bCs/>
          <w:lang w:val="en-BE"/>
        </w:rPr>
        <w:t>Data Availability</w:t>
      </w:r>
    </w:p>
    <w:p w14:paraId="7BDC6A3B" w14:textId="2FC75A75" w:rsidR="0017694F" w:rsidRDefault="00BF1B7B">
      <w:r w:rsidRPr="00BF1B7B">
        <w:rPr>
          <w:lang w:val="en-BE"/>
        </w:rPr>
        <w:t xml:space="preserve">The simulation parameters, convergence data, and final density plots are available </w:t>
      </w:r>
      <w:r w:rsidR="009C3A39">
        <w:rPr>
          <w:lang w:val="en-BE"/>
        </w:rPr>
        <w:t xml:space="preserve">on GitHub repository </w:t>
      </w:r>
      <w:hyperlink r:id="rId10" w:history="1">
        <w:r w:rsidR="009C3A39" w:rsidRPr="008244CA">
          <w:rPr>
            <w:rStyle w:val="Hyperlink"/>
            <w:lang w:val="en-BE"/>
          </w:rPr>
          <w:t>https://github.com/jeanlouisvanbelle/RealQM-H3</w:t>
        </w:r>
      </w:hyperlink>
      <w:r w:rsidR="009C3A39">
        <w:rPr>
          <w:lang w:val="en-BE"/>
        </w:rPr>
        <w:t>.</w:t>
      </w:r>
    </w:p>
    <w:sectPr w:rsidR="0017694F" w:rsidSect="009C3A39">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6EEBC" w14:textId="77777777" w:rsidR="00494F57" w:rsidRDefault="00494F57" w:rsidP="009C3A39">
      <w:pPr>
        <w:spacing w:after="0" w:line="240" w:lineRule="auto"/>
      </w:pPr>
      <w:r>
        <w:separator/>
      </w:r>
    </w:p>
  </w:endnote>
  <w:endnote w:type="continuationSeparator" w:id="0">
    <w:p w14:paraId="6B39851B" w14:textId="77777777" w:rsidR="00494F57" w:rsidRDefault="00494F57" w:rsidP="009C3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049359"/>
      <w:docPartObj>
        <w:docPartGallery w:val="Page Numbers (Bottom of Page)"/>
        <w:docPartUnique/>
      </w:docPartObj>
    </w:sdtPr>
    <w:sdtContent>
      <w:p w14:paraId="1FEADF1E" w14:textId="1BB6AFC1" w:rsidR="009C3A39" w:rsidRDefault="009C3A39">
        <w:pPr>
          <w:pStyle w:val="Footer"/>
          <w:jc w:val="right"/>
        </w:pPr>
        <w:r>
          <w:fldChar w:fldCharType="begin"/>
        </w:r>
        <w:r>
          <w:instrText>PAGE   \* MERGEFORMAT</w:instrText>
        </w:r>
        <w:r>
          <w:fldChar w:fldCharType="separate"/>
        </w:r>
        <w:r>
          <w:rPr>
            <w:lang w:val="en-GB"/>
          </w:rPr>
          <w:t>2</w:t>
        </w:r>
        <w:r>
          <w:fldChar w:fldCharType="end"/>
        </w:r>
      </w:p>
    </w:sdtContent>
  </w:sdt>
  <w:p w14:paraId="3840FC51" w14:textId="77777777" w:rsidR="009C3A39" w:rsidRDefault="009C3A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6D672" w14:textId="77777777" w:rsidR="00494F57" w:rsidRDefault="00494F57" w:rsidP="009C3A39">
      <w:pPr>
        <w:spacing w:after="0" w:line="240" w:lineRule="auto"/>
      </w:pPr>
      <w:r>
        <w:separator/>
      </w:r>
    </w:p>
  </w:footnote>
  <w:footnote w:type="continuationSeparator" w:id="0">
    <w:p w14:paraId="4771A13F" w14:textId="77777777" w:rsidR="00494F57" w:rsidRDefault="00494F57" w:rsidP="009C3A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3144F"/>
    <w:multiLevelType w:val="multilevel"/>
    <w:tmpl w:val="BCFEF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A33978"/>
    <w:multiLevelType w:val="multilevel"/>
    <w:tmpl w:val="D6E0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411239">
    <w:abstractNumId w:val="0"/>
  </w:num>
  <w:num w:numId="2" w16cid:durableId="1894922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B7B"/>
    <w:rsid w:val="000D4357"/>
    <w:rsid w:val="0017694F"/>
    <w:rsid w:val="00245E07"/>
    <w:rsid w:val="00296B5B"/>
    <w:rsid w:val="0030088E"/>
    <w:rsid w:val="00492A4E"/>
    <w:rsid w:val="00494F57"/>
    <w:rsid w:val="005D04FB"/>
    <w:rsid w:val="008D078D"/>
    <w:rsid w:val="009C3A39"/>
    <w:rsid w:val="00B2586A"/>
    <w:rsid w:val="00BB48E8"/>
    <w:rsid w:val="00BD2718"/>
    <w:rsid w:val="00BF1B7B"/>
    <w:rsid w:val="00E77867"/>
    <w:rsid w:val="00EF43DD"/>
    <w:rsid w:val="00F01D4F"/>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2968E"/>
  <w15:chartTrackingRefBased/>
  <w15:docId w15:val="{087F3182-B610-4C18-AD49-A2D077686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78D"/>
    <w:rPr>
      <w:sz w:val="22"/>
    </w:rPr>
  </w:style>
  <w:style w:type="paragraph" w:styleId="Heading1">
    <w:name w:val="heading 1"/>
    <w:basedOn w:val="Normal"/>
    <w:next w:val="Normal"/>
    <w:link w:val="Heading1Char"/>
    <w:uiPriority w:val="9"/>
    <w:qFormat/>
    <w:rsid w:val="00492A4E"/>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8D078D"/>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30088E"/>
    <w:pPr>
      <w:keepNext/>
      <w:keepLines/>
      <w:spacing w:before="160" w:after="80"/>
      <w:outlineLvl w:val="2"/>
    </w:pPr>
    <w:rPr>
      <w:rFonts w:eastAsiaTheme="majorEastAsia" w:cstheme="majorBidi"/>
      <w:b/>
      <w:color w:val="000000" w:themeColor="text1"/>
      <w:sz w:val="24"/>
      <w:szCs w:val="28"/>
      <w:lang w:val="en-US"/>
    </w:rPr>
  </w:style>
  <w:style w:type="paragraph" w:styleId="Heading4">
    <w:name w:val="heading 4"/>
    <w:basedOn w:val="Normal"/>
    <w:next w:val="Normal"/>
    <w:link w:val="Heading4Char"/>
    <w:uiPriority w:val="9"/>
    <w:semiHidden/>
    <w:unhideWhenUsed/>
    <w:qFormat/>
    <w:rsid w:val="00BF1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D078D"/>
    <w:pPr>
      <w:spacing w:after="80" w:line="240" w:lineRule="auto"/>
      <w:contextualSpacing/>
      <w:jc w:val="center"/>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8D078D"/>
    <w:rPr>
      <w:rFonts w:asciiTheme="majorHAnsi" w:eastAsiaTheme="majorEastAsia" w:hAnsiTheme="majorHAnsi" w:cstheme="majorBidi"/>
      <w:spacing w:val="-10"/>
      <w:kern w:val="28"/>
      <w:sz w:val="36"/>
      <w:szCs w:val="56"/>
    </w:rPr>
  </w:style>
  <w:style w:type="character" w:customStyle="1" w:styleId="Heading2Char">
    <w:name w:val="Heading 2 Char"/>
    <w:basedOn w:val="DefaultParagraphFont"/>
    <w:link w:val="Heading2"/>
    <w:uiPriority w:val="9"/>
    <w:rsid w:val="008D078D"/>
    <w:rPr>
      <w:rFonts w:asciiTheme="majorHAnsi" w:eastAsiaTheme="majorEastAsia" w:hAnsiTheme="majorHAnsi" w:cstheme="majorBidi"/>
      <w:color w:val="0F4761" w:themeColor="accent1" w:themeShade="BF"/>
      <w:sz w:val="28"/>
      <w:szCs w:val="32"/>
    </w:rPr>
  </w:style>
  <w:style w:type="character" w:customStyle="1" w:styleId="Heading1Char">
    <w:name w:val="Heading 1 Char"/>
    <w:basedOn w:val="DefaultParagraphFont"/>
    <w:link w:val="Heading1"/>
    <w:uiPriority w:val="9"/>
    <w:rsid w:val="00492A4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0088E"/>
    <w:rPr>
      <w:rFonts w:eastAsiaTheme="majorEastAsia" w:cstheme="majorBidi"/>
      <w:b/>
      <w:color w:val="000000" w:themeColor="text1"/>
      <w:szCs w:val="28"/>
      <w:lang w:val="en-US"/>
    </w:rPr>
  </w:style>
  <w:style w:type="character" w:customStyle="1" w:styleId="Heading4Char">
    <w:name w:val="Heading 4 Char"/>
    <w:basedOn w:val="DefaultParagraphFont"/>
    <w:link w:val="Heading4"/>
    <w:uiPriority w:val="9"/>
    <w:semiHidden/>
    <w:rsid w:val="00BF1B7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BF1B7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BF1B7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BF1B7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BF1B7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BF1B7B"/>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BF1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B7B"/>
    <w:pPr>
      <w:spacing w:before="160"/>
      <w:jc w:val="center"/>
    </w:pPr>
    <w:rPr>
      <w:i/>
      <w:iCs/>
      <w:color w:val="404040" w:themeColor="text1" w:themeTint="BF"/>
    </w:rPr>
  </w:style>
  <w:style w:type="character" w:customStyle="1" w:styleId="QuoteChar">
    <w:name w:val="Quote Char"/>
    <w:basedOn w:val="DefaultParagraphFont"/>
    <w:link w:val="Quote"/>
    <w:uiPriority w:val="29"/>
    <w:rsid w:val="00BF1B7B"/>
    <w:rPr>
      <w:i/>
      <w:iCs/>
      <w:color w:val="404040" w:themeColor="text1" w:themeTint="BF"/>
      <w:sz w:val="22"/>
    </w:rPr>
  </w:style>
  <w:style w:type="paragraph" w:styleId="ListParagraph">
    <w:name w:val="List Paragraph"/>
    <w:basedOn w:val="Normal"/>
    <w:uiPriority w:val="34"/>
    <w:qFormat/>
    <w:rsid w:val="00BF1B7B"/>
    <w:pPr>
      <w:ind w:left="720"/>
      <w:contextualSpacing/>
    </w:pPr>
  </w:style>
  <w:style w:type="character" w:styleId="IntenseEmphasis">
    <w:name w:val="Intense Emphasis"/>
    <w:basedOn w:val="DefaultParagraphFont"/>
    <w:uiPriority w:val="21"/>
    <w:qFormat/>
    <w:rsid w:val="00BF1B7B"/>
    <w:rPr>
      <w:i/>
      <w:iCs/>
      <w:color w:val="0F4761" w:themeColor="accent1" w:themeShade="BF"/>
    </w:rPr>
  </w:style>
  <w:style w:type="paragraph" w:styleId="IntenseQuote">
    <w:name w:val="Intense Quote"/>
    <w:basedOn w:val="Normal"/>
    <w:next w:val="Normal"/>
    <w:link w:val="IntenseQuoteChar"/>
    <w:uiPriority w:val="30"/>
    <w:qFormat/>
    <w:rsid w:val="00BF1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B7B"/>
    <w:rPr>
      <w:i/>
      <w:iCs/>
      <w:color w:val="0F4761" w:themeColor="accent1" w:themeShade="BF"/>
      <w:sz w:val="22"/>
    </w:rPr>
  </w:style>
  <w:style w:type="character" w:styleId="IntenseReference">
    <w:name w:val="Intense Reference"/>
    <w:basedOn w:val="DefaultParagraphFont"/>
    <w:uiPriority w:val="32"/>
    <w:qFormat/>
    <w:rsid w:val="00BF1B7B"/>
    <w:rPr>
      <w:b/>
      <w:bCs/>
      <w:smallCaps/>
      <w:color w:val="0F4761" w:themeColor="accent1" w:themeShade="BF"/>
      <w:spacing w:val="5"/>
    </w:rPr>
  </w:style>
  <w:style w:type="character" w:styleId="Hyperlink">
    <w:name w:val="Hyperlink"/>
    <w:basedOn w:val="DefaultParagraphFont"/>
    <w:uiPriority w:val="99"/>
    <w:unhideWhenUsed/>
    <w:rsid w:val="00296B5B"/>
    <w:rPr>
      <w:color w:val="467886" w:themeColor="hyperlink"/>
      <w:u w:val="single"/>
    </w:rPr>
  </w:style>
  <w:style w:type="character" w:styleId="UnresolvedMention">
    <w:name w:val="Unresolved Mention"/>
    <w:basedOn w:val="DefaultParagraphFont"/>
    <w:uiPriority w:val="99"/>
    <w:semiHidden/>
    <w:unhideWhenUsed/>
    <w:rsid w:val="00296B5B"/>
    <w:rPr>
      <w:color w:val="605E5C"/>
      <w:shd w:val="clear" w:color="auto" w:fill="E1DFDD"/>
    </w:rPr>
  </w:style>
  <w:style w:type="table" w:styleId="TableGridLight">
    <w:name w:val="Grid Table Light"/>
    <w:basedOn w:val="TableNormal"/>
    <w:uiPriority w:val="40"/>
    <w:rsid w:val="009C3A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9C3A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3A39"/>
    <w:rPr>
      <w:sz w:val="22"/>
    </w:rPr>
  </w:style>
  <w:style w:type="paragraph" w:styleId="Footer">
    <w:name w:val="footer"/>
    <w:basedOn w:val="Normal"/>
    <w:link w:val="FooterChar"/>
    <w:uiPriority w:val="99"/>
    <w:unhideWhenUsed/>
    <w:rsid w:val="009C3A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3A39"/>
    <w:rPr>
      <w:sz w:val="22"/>
    </w:rPr>
  </w:style>
  <w:style w:type="paragraph" w:styleId="TOCHeading">
    <w:name w:val="TOC Heading"/>
    <w:basedOn w:val="Heading1"/>
    <w:next w:val="Normal"/>
    <w:uiPriority w:val="39"/>
    <w:unhideWhenUsed/>
    <w:qFormat/>
    <w:rsid w:val="009C3A39"/>
    <w:pPr>
      <w:spacing w:before="240" w:after="0" w:line="259" w:lineRule="auto"/>
      <w:outlineLvl w:val="9"/>
    </w:pPr>
    <w:rPr>
      <w:kern w:val="0"/>
      <w:szCs w:val="32"/>
      <w:lang w:val="en-BE" w:eastAsia="en-BE"/>
      <w14:ligatures w14:val="none"/>
    </w:rPr>
  </w:style>
  <w:style w:type="paragraph" w:styleId="TOC1">
    <w:name w:val="toc 1"/>
    <w:basedOn w:val="Normal"/>
    <w:next w:val="Normal"/>
    <w:autoRedefine/>
    <w:uiPriority w:val="39"/>
    <w:unhideWhenUsed/>
    <w:rsid w:val="009C3A39"/>
    <w:pPr>
      <w:spacing w:after="100"/>
    </w:pPr>
  </w:style>
  <w:style w:type="paragraph" w:styleId="TOC2">
    <w:name w:val="toc 2"/>
    <w:basedOn w:val="Normal"/>
    <w:next w:val="Normal"/>
    <w:autoRedefine/>
    <w:uiPriority w:val="39"/>
    <w:unhideWhenUsed/>
    <w:rsid w:val="009C3A3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2419564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jeanlouisvanbelle/RealQM-H3" TargetMode="External"/><Relationship Id="rId4" Type="http://schemas.openxmlformats.org/officeDocument/2006/relationships/settings" Target="settings.xml"/><Relationship Id="rId9" Type="http://schemas.openxmlformats.org/officeDocument/2006/relationships/hyperlink" Target="https://www.sciencedirect.com/science/article/abs/pii/00092614950114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7E09F-D89C-4426-B08D-E36611338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1570</Words>
  <Characters>8951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Louis Van Belle</dc:creator>
  <cp:keywords/>
  <dc:description/>
  <cp:lastModifiedBy>Jean Louis Van Belle</cp:lastModifiedBy>
  <cp:revision>6</cp:revision>
  <dcterms:created xsi:type="dcterms:W3CDTF">2026-08-21T09:01:00Z</dcterms:created>
  <dcterms:modified xsi:type="dcterms:W3CDTF">2026-08-21T09:37:00Z</dcterms:modified>
</cp:coreProperties>
</file>