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90E2" w14:textId="0454D364" w:rsidR="00617EEF" w:rsidRPr="00D17A39" w:rsidRDefault="00617EEF" w:rsidP="00617EEF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D17A39">
        <w:rPr>
          <w:rFonts w:ascii="Arial" w:hAnsi="Arial" w:cs="Arial"/>
          <w:b/>
          <w:bCs/>
          <w:color w:val="auto"/>
          <w:u w:val="single"/>
        </w:rPr>
        <w:t>Use Case : Consulter les factures</w:t>
      </w:r>
    </w:p>
    <w:p w14:paraId="02579CF6" w14:textId="77777777" w:rsidR="00617EEF" w:rsidRPr="00D17A39" w:rsidRDefault="00617EEF" w:rsidP="00617EEF">
      <w:pPr>
        <w:jc w:val="both"/>
        <w:rPr>
          <w:rFonts w:ascii="Arial" w:hAnsi="Arial" w:cs="Arial"/>
        </w:rPr>
      </w:pPr>
    </w:p>
    <w:p w14:paraId="762D4B00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C690ECF" w14:textId="1EF13ED9" w:rsidR="00617EEF" w:rsidRDefault="00617EEF" w:rsidP="00617EEF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voir la liste des factures enregistré</w:t>
      </w:r>
      <w:r w:rsidR="00D17A39">
        <w:rPr>
          <w:rFonts w:ascii="Arial" w:hAnsi="Arial" w:cs="Arial"/>
        </w:rPr>
        <w:t>s,</w:t>
      </w:r>
      <w:r>
        <w:rPr>
          <w:rFonts w:ascii="Arial" w:hAnsi="Arial" w:cs="Arial"/>
        </w:rPr>
        <w:t xml:space="preserve"> depuis ce module l’utilisateur peut aussi exporter les factures au format PDF.</w:t>
      </w:r>
      <w:r w:rsidRPr="007B6BE4">
        <w:rPr>
          <w:rFonts w:ascii="Arial" w:hAnsi="Arial" w:cs="Arial"/>
        </w:rPr>
        <w:t xml:space="preserve">  </w:t>
      </w:r>
      <w:r w:rsidR="00D17A39">
        <w:rPr>
          <w:rFonts w:ascii="Arial" w:hAnsi="Arial" w:cs="Arial"/>
        </w:rPr>
        <w:t>Les factures disponibles en PDF sont envoyées par le fournisseur.</w:t>
      </w:r>
    </w:p>
    <w:p w14:paraId="7B6C3A2F" w14:textId="77777777" w:rsidR="00D17A39" w:rsidRPr="007B6BE4" w:rsidRDefault="00D17A39" w:rsidP="00617EEF">
      <w:pPr>
        <w:ind w:firstLine="708"/>
        <w:jc w:val="both"/>
        <w:rPr>
          <w:rFonts w:ascii="Arial" w:hAnsi="Arial" w:cs="Arial"/>
        </w:rPr>
      </w:pPr>
    </w:p>
    <w:p w14:paraId="3569DA71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38EDE037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8BF7C8B" w14:textId="77777777" w:rsidR="00617EEF" w:rsidRPr="007B6BE4" w:rsidRDefault="00617EEF" w:rsidP="00617EEF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199CD1" w14:textId="2D99582F" w:rsidR="00617EEF" w:rsidRPr="007B6BE4" w:rsidRDefault="00617EEF" w:rsidP="00617EEF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</w:p>
    <w:p w14:paraId="51645F7A" w14:textId="308654FD" w:rsidR="00617EEF" w:rsidRPr="00DD2F8A" w:rsidRDefault="00617EEF" w:rsidP="00617EEF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les factures. </w:t>
      </w:r>
    </w:p>
    <w:p w14:paraId="12AF9F65" w14:textId="77777777" w:rsidR="00617EEF" w:rsidRPr="009B1176" w:rsidRDefault="00617EEF" w:rsidP="00617EEF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C1AAF14" wp14:editId="6BF501EF">
            <wp:extent cx="5695047" cy="494013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73" cy="50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34D0" w14:textId="715AA157" w:rsidR="00617EEF" w:rsidRDefault="00617EEF" w:rsidP="00617EEF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3CEC79B2" w14:textId="77777777" w:rsidR="00617EEF" w:rsidRPr="00617EEF" w:rsidRDefault="00617EEF" w:rsidP="00617EEF"/>
    <w:p w14:paraId="374FE19C" w14:textId="77777777" w:rsidR="00617EEF" w:rsidRDefault="00617EEF" w:rsidP="00617EEF">
      <w:pPr>
        <w:jc w:val="center"/>
        <w:rPr>
          <w:rFonts w:ascii="Arial" w:hAnsi="Arial" w:cs="Arial"/>
        </w:rPr>
      </w:pPr>
    </w:p>
    <w:p w14:paraId="0E8EF38B" w14:textId="77777777" w:rsidR="00617EEF" w:rsidRPr="007B6BE4" w:rsidRDefault="00617EEF" w:rsidP="00617EE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D21D51E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5F9AD86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682CE69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3357F18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659733D" w14:textId="77777777" w:rsidR="00617EEF" w:rsidRPr="007B6BE4" w:rsidRDefault="00617EEF" w:rsidP="00617EE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2EFD41" wp14:editId="73B6646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6DBDA" w14:textId="77777777" w:rsidR="00617EEF" w:rsidRPr="007B6BE4" w:rsidRDefault="00617EEF" w:rsidP="00617EEF">
      <w:pPr>
        <w:rPr>
          <w:rFonts w:ascii="Arial" w:hAnsi="Arial" w:cs="Arial"/>
        </w:rPr>
      </w:pPr>
    </w:p>
    <w:p w14:paraId="26D0076F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8001DFE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56B3AAB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96A2FFE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9D05FFE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58B6155" w14:textId="614A5129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B18892D" w14:textId="77538A24" w:rsidR="00617EEF" w:rsidRDefault="00617EEF" w:rsidP="00617EEF"/>
    <w:p w14:paraId="5AE77E96" w14:textId="77777777" w:rsidR="00617EEF" w:rsidRPr="00617EEF" w:rsidRDefault="00617EEF" w:rsidP="00617EEF"/>
    <w:p w14:paraId="3225701A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C165BF5" w14:textId="1ED8C08C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50D271D6" w14:textId="77777777" w:rsidR="00617EEF" w:rsidRPr="007B6BE4" w:rsidRDefault="00617EEF" w:rsidP="00617EEF">
      <w:pPr>
        <w:ind w:firstLine="708"/>
        <w:jc w:val="both"/>
        <w:rPr>
          <w:rFonts w:ascii="Arial" w:hAnsi="Arial" w:cs="Arial"/>
        </w:rPr>
      </w:pPr>
    </w:p>
    <w:p w14:paraId="3466028C" w14:textId="34A0C34F" w:rsidR="00617EEF" w:rsidRPr="007B6BE4" w:rsidRDefault="00617EEF" w:rsidP="00617EEF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617EEF" w:rsidRPr="007B6BE4" w14:paraId="29BA2560" w14:textId="77777777" w:rsidTr="00A04190">
        <w:tc>
          <w:tcPr>
            <w:tcW w:w="2255" w:type="dxa"/>
          </w:tcPr>
          <w:p w14:paraId="487C8C9A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D2ABE51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1BD4297B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3548177F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617EEF" w:rsidRPr="007B6BE4" w14:paraId="19A5ACEC" w14:textId="77777777" w:rsidTr="00A04190">
        <w:tc>
          <w:tcPr>
            <w:tcW w:w="2255" w:type="dxa"/>
          </w:tcPr>
          <w:p w14:paraId="65389D3A" w14:textId="20E18520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24" w:type="dxa"/>
          </w:tcPr>
          <w:p w14:paraId="47F4B39B" w14:textId="42DE7A8D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19B0C9D" w14:textId="29E23914" w:rsidR="00617EEF" w:rsidRPr="007B6BE4" w:rsidRDefault="00617EEF" w:rsidP="00617EEF">
            <w:pPr>
              <w:tabs>
                <w:tab w:val="center" w:pos="86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40" w:type="dxa"/>
          </w:tcPr>
          <w:p w14:paraId="043FAB92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617EEF" w:rsidRPr="007B6BE4" w14:paraId="70291670" w14:textId="77777777" w:rsidTr="00A04190">
        <w:tc>
          <w:tcPr>
            <w:tcW w:w="2255" w:type="dxa"/>
          </w:tcPr>
          <w:p w14:paraId="03E7AC02" w14:textId="6B9FA338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69BE8D22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E394B56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70BF0FF" w14:textId="66458AE9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617EEF" w:rsidRPr="007B6BE4" w14:paraId="154C5988" w14:textId="77777777" w:rsidTr="00A04190">
        <w:tc>
          <w:tcPr>
            <w:tcW w:w="2255" w:type="dxa"/>
          </w:tcPr>
          <w:p w14:paraId="734EC28B" w14:textId="661656AC" w:rsidR="00617EEF" w:rsidRPr="00C87915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 TTC €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2F8A3214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3AFEC2D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F045C0D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617EEF" w:rsidRPr="007B6BE4" w14:paraId="06B9E886" w14:textId="77777777" w:rsidTr="00A04190">
        <w:tc>
          <w:tcPr>
            <w:tcW w:w="2255" w:type="dxa"/>
          </w:tcPr>
          <w:p w14:paraId="2D138528" w14:textId="3BC5159B" w:rsidR="00617EEF" w:rsidRPr="007B6BE4" w:rsidRDefault="00617EEF" w:rsidP="00617EEF">
            <w:pPr>
              <w:tabs>
                <w:tab w:val="center" w:pos="10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Livré</w:t>
            </w:r>
          </w:p>
        </w:tc>
        <w:tc>
          <w:tcPr>
            <w:tcW w:w="1924" w:type="dxa"/>
          </w:tcPr>
          <w:p w14:paraId="60E825B2" w14:textId="11D86DC2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4FB1985" w14:textId="17FF4C73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700EE6D2" w14:textId="3BCA855C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Soit OUI ou NON</w:t>
            </w:r>
            <w:r w:rsidR="00D17A39">
              <w:rPr>
                <w:rFonts w:ascii="Arial" w:hAnsi="Arial" w:cs="Arial"/>
              </w:rPr>
              <w:t>, PARTIELLEMENT</w:t>
            </w:r>
          </w:p>
        </w:tc>
      </w:tr>
    </w:tbl>
    <w:p w14:paraId="6E09920B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0034A9AF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F5E5172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60678F6E" w14:textId="77777777" w:rsidR="00617EEF" w:rsidRPr="007B6BE4" w:rsidRDefault="00617EEF" w:rsidP="00617EEF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FF65157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279B6367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0F41365F" w14:textId="77777777" w:rsidR="00617EEF" w:rsidRPr="007B6BE4" w:rsidRDefault="00617EEF" w:rsidP="00617EEF">
      <w:pPr>
        <w:jc w:val="both"/>
        <w:rPr>
          <w:rFonts w:ascii="Arial" w:hAnsi="Arial" w:cs="Arial"/>
          <w:sz w:val="24"/>
          <w:szCs w:val="24"/>
        </w:rPr>
      </w:pPr>
    </w:p>
    <w:p w14:paraId="53CF86B8" w14:textId="77777777" w:rsidR="00617EEF" w:rsidRPr="007B6BE4" w:rsidRDefault="00617EEF" w:rsidP="00617EEF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5B702120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77B3B21F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43C545E0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02166A89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3101BA2D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2A5010DD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43370D9C" w14:textId="77777777" w:rsidR="00365733" w:rsidRDefault="00365733"/>
    <w:sectPr w:rsidR="00365733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A546" w14:textId="77777777" w:rsidR="000D0C17" w:rsidRDefault="000D0C17">
      <w:pPr>
        <w:spacing w:after="0" w:line="240" w:lineRule="auto"/>
      </w:pPr>
      <w:r>
        <w:separator/>
      </w:r>
    </w:p>
  </w:endnote>
  <w:endnote w:type="continuationSeparator" w:id="0">
    <w:p w14:paraId="4A6B984C" w14:textId="77777777" w:rsidR="000D0C17" w:rsidRDefault="000D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3737A42E" w14:textId="77777777" w:rsidR="006B3C66" w:rsidRDefault="00617E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258D7" w14:textId="77777777" w:rsidR="006B3C66" w:rsidRDefault="000D0C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3D31A" w14:textId="77777777" w:rsidR="000D0C17" w:rsidRDefault="000D0C17">
      <w:pPr>
        <w:spacing w:after="0" w:line="240" w:lineRule="auto"/>
      </w:pPr>
      <w:r>
        <w:separator/>
      </w:r>
    </w:p>
  </w:footnote>
  <w:footnote w:type="continuationSeparator" w:id="0">
    <w:p w14:paraId="6B6BB628" w14:textId="77777777" w:rsidR="000D0C17" w:rsidRDefault="000D0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EF"/>
    <w:rsid w:val="000D0C17"/>
    <w:rsid w:val="00365733"/>
    <w:rsid w:val="00617EEF"/>
    <w:rsid w:val="00D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3280"/>
  <w15:chartTrackingRefBased/>
  <w15:docId w15:val="{BE6CF9B6-1E1F-4B74-BC46-6CF9F7EA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EEF"/>
  </w:style>
  <w:style w:type="paragraph" w:styleId="Titre1">
    <w:name w:val="heading 1"/>
    <w:basedOn w:val="Normal"/>
    <w:next w:val="Normal"/>
    <w:link w:val="Titre1Car"/>
    <w:uiPriority w:val="9"/>
    <w:qFormat/>
    <w:rsid w:val="0061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7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17E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7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17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2</cp:revision>
  <dcterms:created xsi:type="dcterms:W3CDTF">2020-06-06T15:24:00Z</dcterms:created>
  <dcterms:modified xsi:type="dcterms:W3CDTF">2020-06-06T15:54:00Z</dcterms:modified>
</cp:coreProperties>
</file>