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F8A6A" w14:textId="38184ABE" w:rsidR="00432932" w:rsidRPr="001D1A99" w:rsidRDefault="00432932" w:rsidP="0043293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1D1A99">
        <w:rPr>
          <w:rFonts w:ascii="Arial" w:hAnsi="Arial" w:cs="Arial"/>
          <w:b/>
          <w:bCs/>
          <w:color w:val="auto"/>
          <w:u w:val="single"/>
        </w:rPr>
        <w:t>Use Case : Consulter les stocks par critères</w:t>
      </w:r>
    </w:p>
    <w:p w14:paraId="650DEFF4" w14:textId="77777777" w:rsidR="00432932" w:rsidRPr="001D1A99" w:rsidRDefault="00432932" w:rsidP="00432932">
      <w:pPr>
        <w:jc w:val="both"/>
        <w:rPr>
          <w:rFonts w:ascii="Arial" w:hAnsi="Arial" w:cs="Arial"/>
        </w:rPr>
      </w:pPr>
    </w:p>
    <w:p w14:paraId="435958B2" w14:textId="55AC82B3" w:rsidR="009C2430" w:rsidRPr="009C2430" w:rsidRDefault="00432932" w:rsidP="009C243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46EA0A0F" w14:textId="00C6EF52" w:rsidR="00432932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une façon de trier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le stock de produits, depuis ce module l’utilisateur peut soit ajouter un produit (UC Créer Article) soit consulter les commandes en cours (UC Consulter une commande).</w:t>
      </w:r>
      <w:r w:rsidRPr="007B6BE4">
        <w:rPr>
          <w:rFonts w:ascii="Arial" w:hAnsi="Arial" w:cs="Arial"/>
        </w:rPr>
        <w:t xml:space="preserve"> </w:t>
      </w:r>
    </w:p>
    <w:p w14:paraId="1B90BAFE" w14:textId="77777777" w:rsidR="00432932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1A625813" w14:textId="23631EA0" w:rsidR="00432932" w:rsidRPr="003F006E" w:rsidRDefault="00432932" w:rsidP="00432932">
      <w:pPr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7B6BE4">
        <w:rPr>
          <w:rFonts w:ascii="Arial" w:hAnsi="Arial" w:cs="Arial"/>
          <w:i/>
          <w:iCs/>
        </w:rPr>
        <w:t xml:space="preserve">A – Flot de base </w:t>
      </w:r>
    </w:p>
    <w:p w14:paraId="7DD826A4" w14:textId="4BD5F462" w:rsidR="00432932" w:rsidRDefault="00432932" w:rsidP="00432932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0D24BF" w14:textId="309CEB77" w:rsidR="00432932" w:rsidRDefault="00432932" w:rsidP="0043293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432932">
        <w:rPr>
          <w:rFonts w:ascii="Arial" w:hAnsi="Arial" w:cs="Arial"/>
        </w:rPr>
        <w:t>L’utilisateur choisis la façon dont il veut trier,</w:t>
      </w:r>
    </w:p>
    <w:p w14:paraId="3B1F733C" w14:textId="77777777" w:rsidR="00432932" w:rsidRDefault="00432932" w:rsidP="00432932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40949EA3" w14:textId="77777777" w:rsidR="00432932" w:rsidRDefault="00432932" w:rsidP="00432932">
      <w:pPr>
        <w:pStyle w:val="Titre3"/>
        <w:keepLines w:val="0"/>
        <w:spacing w:before="240" w:after="60"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7B35D88" wp14:editId="78869441">
            <wp:extent cx="5707380" cy="4933498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0" cy="49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55D1">
        <w:rPr>
          <w:rFonts w:ascii="Arial" w:hAnsi="Arial" w:cs="Arial"/>
          <w:i/>
          <w:iCs/>
          <w:color w:val="auto"/>
        </w:rPr>
        <w:br/>
      </w:r>
      <w:r w:rsidRPr="007B55D1">
        <w:rPr>
          <w:rFonts w:ascii="Arial" w:hAnsi="Arial" w:cs="Arial"/>
          <w:i/>
          <w:iCs/>
          <w:color w:val="auto"/>
        </w:rPr>
        <w:br/>
      </w:r>
    </w:p>
    <w:p w14:paraId="2096A4E4" w14:textId="73E5642F" w:rsidR="00432932" w:rsidRDefault="00432932" w:rsidP="00432932"/>
    <w:p w14:paraId="424145E0" w14:textId="77777777" w:rsidR="00432932" w:rsidRPr="007B55D1" w:rsidRDefault="00432932" w:rsidP="00432932"/>
    <w:p w14:paraId="4E4071DB" w14:textId="77777777" w:rsidR="00432932" w:rsidRPr="007B6BE4" w:rsidRDefault="00432932" w:rsidP="00432932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95CACC9" w14:textId="77777777" w:rsidR="00432932" w:rsidRDefault="00432932" w:rsidP="00432932">
      <w:pPr>
        <w:jc w:val="center"/>
        <w:rPr>
          <w:rFonts w:ascii="Arial" w:hAnsi="Arial" w:cs="Arial"/>
        </w:rPr>
      </w:pPr>
    </w:p>
    <w:p w14:paraId="135D66C6" w14:textId="77777777" w:rsidR="00432932" w:rsidRPr="007B6BE4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13C85E9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9E9F62B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F957DC7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5071C70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0CDACE88" w14:textId="77777777" w:rsidR="00432932" w:rsidRPr="007B6BE4" w:rsidRDefault="00432932" w:rsidP="004329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C1D7C74" wp14:editId="523C336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E2B7" w14:textId="77777777" w:rsidR="00432932" w:rsidRPr="007B6BE4" w:rsidRDefault="00432932" w:rsidP="00432932">
      <w:pPr>
        <w:rPr>
          <w:rFonts w:ascii="Arial" w:hAnsi="Arial" w:cs="Arial"/>
        </w:rPr>
      </w:pPr>
    </w:p>
    <w:p w14:paraId="31D35FDF" w14:textId="3047BC93" w:rsidR="00432932" w:rsidRPr="0090672E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</w:t>
      </w:r>
      <w:r>
        <w:rPr>
          <w:rFonts w:ascii="Arial" w:hAnsi="Arial" w:cs="Arial"/>
          <w:i/>
          <w:iCs/>
          <w:sz w:val="24"/>
          <w:szCs w:val="24"/>
        </w:rPr>
        <w:t>ajouter un produit</w:t>
      </w:r>
    </w:p>
    <w:p w14:paraId="1511BC3D" w14:textId="5D78BCA4" w:rsidR="00432932" w:rsidRDefault="00432932" w:rsidP="0043293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système quitte le flot de consulter les stocks et passe sur celui de Créer Article (voir UC Créer Article).</w:t>
      </w:r>
    </w:p>
    <w:p w14:paraId="1F9700FD" w14:textId="77777777" w:rsidR="00432932" w:rsidRDefault="00432932" w:rsidP="00432932">
      <w:pPr>
        <w:pStyle w:val="Paragraphedeliste"/>
        <w:ind w:left="1210"/>
        <w:jc w:val="both"/>
        <w:rPr>
          <w:rFonts w:ascii="Arial" w:hAnsi="Arial" w:cs="Arial"/>
        </w:rPr>
      </w:pPr>
    </w:p>
    <w:p w14:paraId="2FAC8C63" w14:textId="7F0DBB34" w:rsidR="00432932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432932">
        <w:rPr>
          <w:rFonts w:ascii="Arial" w:hAnsi="Arial" w:cs="Arial"/>
          <w:i/>
          <w:iCs/>
        </w:rPr>
        <w:t>L’utilisateur souhaite consulter les commandes en cours</w:t>
      </w:r>
    </w:p>
    <w:p w14:paraId="4CD3BD2A" w14:textId="68E61321" w:rsidR="00432932" w:rsidRPr="00432932" w:rsidRDefault="00432932" w:rsidP="00432932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Le système quitte le flot de consulter les stocks et passe sur celui de Consulter une commande (voir UC Consulter une commande).</w:t>
      </w:r>
    </w:p>
    <w:p w14:paraId="646F3BE9" w14:textId="77777777" w:rsidR="00432932" w:rsidRPr="0090672E" w:rsidRDefault="00432932" w:rsidP="00432932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14:paraId="1A5A4BFD" w14:textId="77777777" w:rsidR="00432932" w:rsidRPr="00C87915" w:rsidRDefault="00432932" w:rsidP="0043293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521E36F" w14:textId="77777777" w:rsidR="00432932" w:rsidRPr="007B6BE4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01EC77B" w14:textId="77777777" w:rsidR="00432932" w:rsidRPr="007B6BE4" w:rsidRDefault="00432932" w:rsidP="00432932">
      <w:pPr>
        <w:ind w:firstLine="708"/>
        <w:jc w:val="both"/>
        <w:rPr>
          <w:rFonts w:ascii="Arial" w:hAnsi="Arial" w:cs="Arial"/>
        </w:rPr>
      </w:pPr>
    </w:p>
    <w:p w14:paraId="47D78F54" w14:textId="3C11D6DD" w:rsidR="00432932" w:rsidRPr="007B6BE4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020399">
        <w:rPr>
          <w:rFonts w:ascii="Arial" w:hAnsi="Arial" w:cs="Arial"/>
        </w:rPr>
        <w:t>5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432932" w:rsidRPr="007B6BE4" w14:paraId="24FB4D4D" w14:textId="77777777" w:rsidTr="006A5D0C">
        <w:tc>
          <w:tcPr>
            <w:tcW w:w="2255" w:type="dxa"/>
          </w:tcPr>
          <w:p w14:paraId="33A25498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5942534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F6441DD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43F8C6E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432932" w:rsidRPr="007B6BE4" w14:paraId="436B8674" w14:textId="77777777" w:rsidTr="006A5D0C">
        <w:tc>
          <w:tcPr>
            <w:tcW w:w="2255" w:type="dxa"/>
          </w:tcPr>
          <w:p w14:paraId="57D147AE" w14:textId="256F91D1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Trier par</w:t>
            </w:r>
          </w:p>
        </w:tc>
        <w:tc>
          <w:tcPr>
            <w:tcW w:w="1924" w:type="dxa"/>
          </w:tcPr>
          <w:p w14:paraId="12B7CDB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05B570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B26327C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4744E82C" w14:textId="77777777" w:rsidTr="006A5D0C">
        <w:tc>
          <w:tcPr>
            <w:tcW w:w="2255" w:type="dxa"/>
          </w:tcPr>
          <w:p w14:paraId="0F11EDF4" w14:textId="525832EE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</w:t>
            </w:r>
            <w:proofErr w:type="spellEnd"/>
          </w:p>
        </w:tc>
        <w:tc>
          <w:tcPr>
            <w:tcW w:w="1924" w:type="dxa"/>
          </w:tcPr>
          <w:p w14:paraId="3DE26D00" w14:textId="7A8FDE64" w:rsidR="00432932" w:rsidRPr="007B6BE4" w:rsidRDefault="00020399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7C7E28" w14:textId="784D03D2" w:rsidR="00432932" w:rsidRPr="007B6BE4" w:rsidRDefault="00020399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6D00803F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0654F16F" w14:textId="77777777" w:rsidTr="006A5D0C">
        <w:tc>
          <w:tcPr>
            <w:tcW w:w="2255" w:type="dxa"/>
          </w:tcPr>
          <w:p w14:paraId="398BC06B" w14:textId="77777777" w:rsidR="00432932" w:rsidRPr="00C87915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16199F2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85BA0EB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E394690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668CA28A" w14:textId="77777777" w:rsidTr="006A5D0C">
        <w:tc>
          <w:tcPr>
            <w:tcW w:w="2255" w:type="dxa"/>
          </w:tcPr>
          <w:p w14:paraId="03BEF11E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F34AB71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A1F9F3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AFEA856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17895994" w14:textId="77777777" w:rsidTr="006A5D0C">
        <w:tc>
          <w:tcPr>
            <w:tcW w:w="2255" w:type="dxa"/>
          </w:tcPr>
          <w:p w14:paraId="3C4463EC" w14:textId="5DBB9C75" w:rsidR="00432932" w:rsidRDefault="00432932" w:rsidP="006A5D0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26BA1BC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CC80F89" w14:textId="78429F74" w:rsidR="00432932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208D2BD" w14:textId="2EEC2186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9FF1E2E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3B35915E" w14:textId="77777777" w:rsidR="00432932" w:rsidRPr="007B6BE4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116A801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2D37F493" w14:textId="77777777" w:rsidR="00432932" w:rsidRPr="007B6BE4" w:rsidRDefault="00432932" w:rsidP="0043293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56AE6672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B9D0258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516FEF7E" w14:textId="77777777" w:rsidR="00432932" w:rsidRPr="007B6BE4" w:rsidRDefault="00432932" w:rsidP="00432932">
      <w:pPr>
        <w:jc w:val="both"/>
        <w:rPr>
          <w:rFonts w:ascii="Arial" w:hAnsi="Arial" w:cs="Arial"/>
          <w:sz w:val="24"/>
          <w:szCs w:val="24"/>
        </w:rPr>
      </w:pPr>
    </w:p>
    <w:p w14:paraId="4E4382A0" w14:textId="77777777" w:rsidR="00432932" w:rsidRPr="007B6BE4" w:rsidRDefault="00432932" w:rsidP="0043293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EF70367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354A40A3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C9E8C38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69764CD5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A6E7765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AE74CBB" w14:textId="77777777" w:rsidR="00432932" w:rsidRDefault="00432932" w:rsidP="00432932"/>
    <w:p w14:paraId="1677A9A2" w14:textId="77777777" w:rsidR="00432932" w:rsidRDefault="00432932" w:rsidP="00432932"/>
    <w:p w14:paraId="3E06C067" w14:textId="77777777" w:rsidR="005660C7" w:rsidRDefault="005660C7"/>
    <w:sectPr w:rsidR="005660C7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F4022" w14:textId="77777777" w:rsidR="00FF2202" w:rsidRDefault="00FF2202">
      <w:pPr>
        <w:spacing w:after="0" w:line="240" w:lineRule="auto"/>
      </w:pPr>
      <w:r>
        <w:separator/>
      </w:r>
    </w:p>
  </w:endnote>
  <w:endnote w:type="continuationSeparator" w:id="0">
    <w:p w14:paraId="650B4E3E" w14:textId="77777777" w:rsidR="00FF2202" w:rsidRDefault="00FF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6A8BBD6B" w14:textId="77777777" w:rsidR="006B3C66" w:rsidRDefault="0002039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EA005" w14:textId="77777777" w:rsidR="006B3C66" w:rsidRDefault="00FF22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E30C1" w14:textId="77777777" w:rsidR="00FF2202" w:rsidRDefault="00FF2202">
      <w:pPr>
        <w:spacing w:after="0" w:line="240" w:lineRule="auto"/>
      </w:pPr>
      <w:r>
        <w:separator/>
      </w:r>
    </w:p>
  </w:footnote>
  <w:footnote w:type="continuationSeparator" w:id="0">
    <w:p w14:paraId="3E1AD62E" w14:textId="77777777" w:rsidR="00FF2202" w:rsidRDefault="00FF2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D5D"/>
    <w:multiLevelType w:val="hybridMultilevel"/>
    <w:tmpl w:val="38FC97E2"/>
    <w:lvl w:ilvl="0" w:tplc="5860CE4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2"/>
    <w:rsid w:val="00020399"/>
    <w:rsid w:val="001D1A99"/>
    <w:rsid w:val="00432932"/>
    <w:rsid w:val="005660C7"/>
    <w:rsid w:val="0079394F"/>
    <w:rsid w:val="009C2430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0D46"/>
  <w15:chartTrackingRefBased/>
  <w15:docId w15:val="{25318FC8-0F02-4697-8C29-C3517169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32"/>
  </w:style>
  <w:style w:type="paragraph" w:styleId="Titre1">
    <w:name w:val="heading 1"/>
    <w:basedOn w:val="Normal"/>
    <w:next w:val="Normal"/>
    <w:link w:val="Titre1Car"/>
    <w:uiPriority w:val="9"/>
    <w:qFormat/>
    <w:rsid w:val="0043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32932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2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32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cp:lastPrinted>2020-06-07T10:11:00Z</cp:lastPrinted>
  <dcterms:created xsi:type="dcterms:W3CDTF">2020-06-07T09:00:00Z</dcterms:created>
  <dcterms:modified xsi:type="dcterms:W3CDTF">2020-06-07T10:11:00Z</dcterms:modified>
</cp:coreProperties>
</file>