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5A9E" w14:textId="11BB4E52" w:rsidR="003661B3" w:rsidRPr="007B6BE4" w:rsidRDefault="003661B3" w:rsidP="003661B3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bookmarkStart w:id="0" w:name="_Hlk41989332"/>
      <w:bookmarkEnd w:id="0"/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Créer un </w:t>
      </w:r>
      <w:r w:rsidR="00E4468D">
        <w:rPr>
          <w:rFonts w:ascii="Arial" w:hAnsi="Arial" w:cs="Arial"/>
          <w:b/>
          <w:bCs/>
          <w:color w:val="auto"/>
          <w:u w:val="single"/>
        </w:rPr>
        <w:t>c</w:t>
      </w:r>
      <w:r>
        <w:rPr>
          <w:rFonts w:ascii="Arial" w:hAnsi="Arial" w:cs="Arial"/>
          <w:b/>
          <w:bCs/>
          <w:color w:val="auto"/>
          <w:u w:val="single"/>
        </w:rPr>
        <w:t>atalogue fournisseur</w:t>
      </w:r>
    </w:p>
    <w:p w14:paraId="36885A54" w14:textId="77777777" w:rsidR="00BB5D80" w:rsidRPr="007B6BE4" w:rsidRDefault="00BB5D80" w:rsidP="003661B3">
      <w:pPr>
        <w:jc w:val="both"/>
        <w:rPr>
          <w:rFonts w:ascii="Arial" w:hAnsi="Arial" w:cs="Arial"/>
        </w:rPr>
      </w:pPr>
    </w:p>
    <w:p w14:paraId="4DF58513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B59CB78" w14:textId="6FEA940C" w:rsidR="004127EB" w:rsidRDefault="003661B3" w:rsidP="004127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</w:t>
      </w:r>
      <w:r>
        <w:rPr>
          <w:rFonts w:ascii="Arial" w:hAnsi="Arial" w:cs="Arial"/>
        </w:rPr>
        <w:t>de créer et d’ajouter des produits dans le catalogue d’un fournisseur déjà enregistré en renseignant les informations de ces produits.</w:t>
      </w:r>
      <w:r w:rsidRPr="007B6BE4">
        <w:rPr>
          <w:rFonts w:ascii="Arial" w:hAnsi="Arial" w:cs="Arial"/>
        </w:rPr>
        <w:t xml:space="preserve">  </w:t>
      </w:r>
      <w:r w:rsidR="004127EB">
        <w:rPr>
          <w:rFonts w:ascii="Arial" w:hAnsi="Arial" w:cs="Arial"/>
        </w:rPr>
        <w:t>L’ajout d’un produit dans le catalogue fournisseur est à dissocier de l’ajout du produit dans le stock.</w:t>
      </w:r>
    </w:p>
    <w:p w14:paraId="764B3832" w14:textId="6FD97079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3EB7CA14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D03B1B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E784C7A" w14:textId="77777777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81AE413" w14:textId="22CBD8FF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BB5D80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BB5D80">
        <w:rPr>
          <w:rFonts w:ascii="Arial" w:hAnsi="Arial" w:cs="Arial"/>
          <w:color w:val="auto"/>
          <w:sz w:val="22"/>
          <w:szCs w:val="22"/>
        </w:rPr>
        <w:t>Référence 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Marque Commerciale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Désignation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AAC7B33" w14:textId="6430D8DD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BB5D80">
        <w:rPr>
          <w:rFonts w:ascii="Arial" w:hAnsi="Arial" w:cs="Arial"/>
          <w:color w:val="auto"/>
          <w:sz w:val="22"/>
          <w:szCs w:val="22"/>
        </w:rPr>
        <w:t xml:space="preserve">produit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FF4C9D" w14:textId="5F6F243B" w:rsidR="003661B3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E2AEAE4" w14:textId="67ED5F31" w:rsidR="003661B3" w:rsidRPr="007B6BE4" w:rsidRDefault="004127EB" w:rsidP="003661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2706C" wp14:editId="19EB0EB8">
            <wp:simplePos x="0" y="0"/>
            <wp:positionH relativeFrom="margin">
              <wp:posOffset>859790</wp:posOffset>
            </wp:positionH>
            <wp:positionV relativeFrom="paragraph">
              <wp:posOffset>217805</wp:posOffset>
            </wp:positionV>
            <wp:extent cx="4165070" cy="4472940"/>
            <wp:effectExtent l="0" t="0" r="698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7" t="1338" r="8406" b="18553"/>
                    <a:stretch/>
                  </pic:blipFill>
                  <pic:spPr bwMode="auto">
                    <a:xfrm>
                      <a:off x="0" y="0"/>
                      <a:ext cx="4166120" cy="44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1316" w14:textId="77777777" w:rsidR="007550B8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2AAC57B4" wp14:editId="636A0378">
            <wp:extent cx="5800219" cy="5953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46" cy="59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552F0124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52C4E6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B463D45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FAF99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C724CA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F1CF4F0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417061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C3661F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3B8967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0C9230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B6332FE" w14:textId="1B705DBF" w:rsidR="003661B3" w:rsidRPr="007B6BE4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7A7FB50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260F904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D3DD6D6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867950D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78CDEE3C" w14:textId="77777777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0F395DD3" w14:textId="1F28AB79" w:rsidR="003661B3" w:rsidRPr="007B6BE4" w:rsidRDefault="003661B3" w:rsidP="003661B3">
      <w:pPr>
        <w:jc w:val="both"/>
        <w:rPr>
          <w:rFonts w:ascii="Arial" w:hAnsi="Arial" w:cs="Arial"/>
        </w:rPr>
      </w:pPr>
    </w:p>
    <w:p w14:paraId="26D11C07" w14:textId="764703A4" w:rsidR="003661B3" w:rsidRDefault="003E5615" w:rsidP="003661B3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1055913" wp14:editId="1D639DB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5401310" cy="5631180"/>
            <wp:effectExtent l="0" t="0" r="8890" b="7620"/>
            <wp:wrapTopAndBottom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er_catalogue_fournisseur_Erreu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1" r="5637" b="15871"/>
                    <a:stretch/>
                  </pic:blipFill>
                  <pic:spPr bwMode="auto">
                    <a:xfrm>
                      <a:off x="0" y="0"/>
                      <a:ext cx="5401310" cy="563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D111C" w14:textId="3A0FC4D3" w:rsidR="003661B3" w:rsidRDefault="003661B3" w:rsidP="003661B3">
      <w:pPr>
        <w:jc w:val="center"/>
        <w:rPr>
          <w:rFonts w:ascii="Arial" w:hAnsi="Arial" w:cs="Arial"/>
        </w:rPr>
      </w:pPr>
    </w:p>
    <w:p w14:paraId="16513877" w14:textId="77777777" w:rsidR="00BB5D80" w:rsidRDefault="00BB5D80" w:rsidP="007550B8">
      <w:pPr>
        <w:rPr>
          <w:rFonts w:ascii="Arial" w:hAnsi="Arial" w:cs="Arial"/>
        </w:rPr>
      </w:pPr>
    </w:p>
    <w:p w14:paraId="3EF62D79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53B4DAF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F1FD411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177170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678053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EB2B130" w14:textId="77777777" w:rsidR="003661B3" w:rsidRPr="007B6BE4" w:rsidRDefault="003661B3" w:rsidP="003661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2B0D233" wp14:editId="647CC81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71C0" w14:textId="77777777" w:rsidR="003661B3" w:rsidRPr="007B6BE4" w:rsidRDefault="003661B3" w:rsidP="003661B3">
      <w:pPr>
        <w:rPr>
          <w:rFonts w:ascii="Arial" w:hAnsi="Arial" w:cs="Arial"/>
        </w:rPr>
      </w:pPr>
    </w:p>
    <w:p w14:paraId="54CCC191" w14:textId="77777777" w:rsidR="003661B3" w:rsidRDefault="003661B3" w:rsidP="003661B3">
      <w:pPr>
        <w:jc w:val="both"/>
        <w:rPr>
          <w:rFonts w:ascii="Arial" w:hAnsi="Arial" w:cs="Arial"/>
        </w:rPr>
      </w:pPr>
    </w:p>
    <w:p w14:paraId="4E2ACA51" w14:textId="77777777" w:rsidR="003661B3" w:rsidRPr="00C87915" w:rsidRDefault="003661B3" w:rsidP="003661B3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5AA05BD1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4EF4B53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7B29864A" w14:textId="072888FF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F3343">
        <w:rPr>
          <w:rFonts w:ascii="Arial" w:hAnsi="Arial" w:cs="Arial"/>
        </w:rPr>
        <w:t xml:space="preserve">7 </w:t>
      </w:r>
      <w:r w:rsidRPr="007B6BE4">
        <w:rPr>
          <w:rFonts w:ascii="Arial" w:hAnsi="Arial" w:cs="Arial"/>
        </w:rPr>
        <w:t xml:space="preserve">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661B3" w:rsidRPr="007B6BE4" w14:paraId="59B80039" w14:textId="77777777" w:rsidTr="00563E54">
        <w:tc>
          <w:tcPr>
            <w:tcW w:w="2255" w:type="dxa"/>
          </w:tcPr>
          <w:p w14:paraId="0311CE9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D2FBE63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BA7D102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009F99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661B3" w:rsidRPr="007B6BE4" w14:paraId="015BC41C" w14:textId="77777777" w:rsidTr="00563E54">
        <w:tc>
          <w:tcPr>
            <w:tcW w:w="2255" w:type="dxa"/>
          </w:tcPr>
          <w:p w14:paraId="02ED6EAA" w14:textId="772D87C0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B2F12" w14:textId="17BA4ED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09B209" w14:textId="1FCECF5E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2940" w:type="dxa"/>
          </w:tcPr>
          <w:p w14:paraId="07FFF4B7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1A2F9C6" w14:textId="77777777" w:rsidTr="00563E54">
        <w:tc>
          <w:tcPr>
            <w:tcW w:w="2255" w:type="dxa"/>
          </w:tcPr>
          <w:p w14:paraId="387F1F6B" w14:textId="18CC4773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Référence fournisseur</w:t>
            </w:r>
          </w:p>
        </w:tc>
        <w:tc>
          <w:tcPr>
            <w:tcW w:w="1924" w:type="dxa"/>
          </w:tcPr>
          <w:p w14:paraId="7FE51D04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3972342" w14:textId="6B7D6D97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83057BF" w14:textId="15EFE33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saisie </w:t>
            </w:r>
            <w:r w:rsidR="005019A0">
              <w:rPr>
                <w:rFonts w:ascii="Arial" w:hAnsi="Arial" w:cs="Arial"/>
              </w:rPr>
              <w:t>ne doit pas contenir de caractère de type @#...</w:t>
            </w:r>
          </w:p>
        </w:tc>
      </w:tr>
      <w:tr w:rsidR="003661B3" w:rsidRPr="007B6BE4" w14:paraId="289A04E1" w14:textId="77777777" w:rsidTr="00563E54">
        <w:tc>
          <w:tcPr>
            <w:tcW w:w="2255" w:type="dxa"/>
          </w:tcPr>
          <w:p w14:paraId="44551465" w14:textId="6F97A17B" w:rsidR="003661B3" w:rsidRPr="00C87915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Commerciale</w:t>
            </w:r>
          </w:p>
        </w:tc>
        <w:tc>
          <w:tcPr>
            <w:tcW w:w="1924" w:type="dxa"/>
          </w:tcPr>
          <w:p w14:paraId="0EFC3D03" w14:textId="4FF2C4EA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BD5927" w14:textId="2289CF1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122ECB" w14:textId="4ED37182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0DF03D08" w14:textId="77777777" w:rsidTr="00563E54">
        <w:tc>
          <w:tcPr>
            <w:tcW w:w="2255" w:type="dxa"/>
          </w:tcPr>
          <w:p w14:paraId="1A446CEC" w14:textId="1B86DC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E13471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49A2CE5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B91F3D" w14:textId="252A2B7B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55847F6" w14:textId="77777777" w:rsidTr="00563E54">
        <w:tc>
          <w:tcPr>
            <w:tcW w:w="2255" w:type="dxa"/>
          </w:tcPr>
          <w:p w14:paraId="54621586" w14:textId="614A344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51E0A9AB" w14:textId="59B2F0CD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D9E5DB" w14:textId="0A5887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661B3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6C53C923" w14:textId="1FF0AA25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4FBF9014" w14:textId="77777777" w:rsidTr="00563E54">
        <w:tc>
          <w:tcPr>
            <w:tcW w:w="2255" w:type="dxa"/>
          </w:tcPr>
          <w:p w14:paraId="475E6574" w14:textId="41F63C6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0B66F72C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8251945" w14:textId="75E8F339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12472E15" w14:textId="6A5A32F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4B3992">
              <w:rPr>
                <w:rFonts w:ascii="Arial" w:hAnsi="Arial" w:cs="Arial"/>
              </w:rPr>
              <w:t xml:space="preserve">, « . » et « , » acceptés ! </w:t>
            </w:r>
          </w:p>
        </w:tc>
      </w:tr>
    </w:tbl>
    <w:p w14:paraId="7EE86E5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5DDCC7C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8FA729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B0BA209" w14:textId="7B306316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A533E9">
        <w:rPr>
          <w:rFonts w:ascii="Arial" w:hAnsi="Arial" w:cs="Arial"/>
        </w:rPr>
        <w:t>du produit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68542B8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016C85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5107379" w14:textId="77777777" w:rsidR="003661B3" w:rsidRPr="007B6BE4" w:rsidRDefault="003661B3" w:rsidP="003661B3">
      <w:pPr>
        <w:jc w:val="both"/>
        <w:rPr>
          <w:rFonts w:ascii="Arial" w:hAnsi="Arial" w:cs="Arial"/>
          <w:sz w:val="24"/>
          <w:szCs w:val="24"/>
        </w:rPr>
      </w:pPr>
    </w:p>
    <w:p w14:paraId="632A8F78" w14:textId="77777777" w:rsidR="003661B3" w:rsidRPr="007B6BE4" w:rsidRDefault="003661B3" w:rsidP="003661B3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CEE40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60EA45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7AC3F95E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4B4281D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17BBDCA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32CE06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BAA7A9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62E7151" w14:textId="77777777" w:rsidR="003661B3" w:rsidRDefault="003661B3" w:rsidP="003661B3"/>
    <w:p w14:paraId="0EBDDE36" w14:textId="77777777" w:rsidR="003661B3" w:rsidRDefault="003661B3" w:rsidP="003661B3"/>
    <w:p w14:paraId="576934D2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E61C5" w14:textId="77777777" w:rsidR="00021B0E" w:rsidRDefault="00021B0E">
      <w:pPr>
        <w:spacing w:after="0" w:line="240" w:lineRule="auto"/>
      </w:pPr>
      <w:r>
        <w:separator/>
      </w:r>
    </w:p>
  </w:endnote>
  <w:endnote w:type="continuationSeparator" w:id="0">
    <w:p w14:paraId="2369DB6B" w14:textId="77777777" w:rsidR="00021B0E" w:rsidRDefault="0002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2141057" w14:textId="77777777" w:rsidR="006B3C66" w:rsidRDefault="005019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39D1D" w14:textId="77777777" w:rsidR="006B3C66" w:rsidRDefault="00021B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8AC9" w14:textId="77777777" w:rsidR="00021B0E" w:rsidRDefault="00021B0E">
      <w:pPr>
        <w:spacing w:after="0" w:line="240" w:lineRule="auto"/>
      </w:pPr>
      <w:r>
        <w:separator/>
      </w:r>
    </w:p>
  </w:footnote>
  <w:footnote w:type="continuationSeparator" w:id="0">
    <w:p w14:paraId="1957A31D" w14:textId="77777777" w:rsidR="00021B0E" w:rsidRDefault="0002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3"/>
    <w:rsid w:val="00021B0E"/>
    <w:rsid w:val="002B723A"/>
    <w:rsid w:val="003661B3"/>
    <w:rsid w:val="003E5615"/>
    <w:rsid w:val="004127EB"/>
    <w:rsid w:val="004B3992"/>
    <w:rsid w:val="004F3343"/>
    <w:rsid w:val="005019A0"/>
    <w:rsid w:val="0073226A"/>
    <w:rsid w:val="007550B8"/>
    <w:rsid w:val="00A533E9"/>
    <w:rsid w:val="00BB5D80"/>
    <w:rsid w:val="00D70F77"/>
    <w:rsid w:val="00E4468D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7669"/>
  <w15:chartTrackingRefBased/>
  <w15:docId w15:val="{CC29D8FC-9602-42FD-853A-6964AC2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B3"/>
  </w:style>
  <w:style w:type="paragraph" w:styleId="Titre1">
    <w:name w:val="heading 1"/>
    <w:basedOn w:val="Normal"/>
    <w:next w:val="Normal"/>
    <w:link w:val="Titre1Car"/>
    <w:uiPriority w:val="9"/>
    <w:qFormat/>
    <w:rsid w:val="0036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6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661B3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6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6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9</cp:revision>
  <dcterms:created xsi:type="dcterms:W3CDTF">2020-06-02T09:12:00Z</dcterms:created>
  <dcterms:modified xsi:type="dcterms:W3CDTF">2020-06-07T10:21:00Z</dcterms:modified>
</cp:coreProperties>
</file>