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25DA" w14:textId="3C883161" w:rsidR="000E10EB" w:rsidRPr="000E10EB" w:rsidRDefault="000E10EB" w:rsidP="000E10EB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0E10EB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Réceptionner une livraison</w:t>
      </w:r>
    </w:p>
    <w:p w14:paraId="7855F488" w14:textId="77777777" w:rsidR="000E10EB" w:rsidRPr="000E10EB" w:rsidRDefault="000E10EB" w:rsidP="000E10EB">
      <w:pPr>
        <w:jc w:val="both"/>
        <w:rPr>
          <w:rFonts w:ascii="Arial" w:hAnsi="Arial" w:cs="Arial"/>
        </w:rPr>
      </w:pPr>
    </w:p>
    <w:p w14:paraId="14930B88" w14:textId="77777777" w:rsidR="000E10EB" w:rsidRPr="000E10EB" w:rsidRDefault="000E10EB" w:rsidP="000E10EB">
      <w:pPr>
        <w:jc w:val="both"/>
        <w:rPr>
          <w:rFonts w:ascii="Arial" w:hAnsi="Arial" w:cs="Arial"/>
        </w:rPr>
      </w:pPr>
    </w:p>
    <w:p w14:paraId="682E1946" w14:textId="77777777" w:rsidR="000E10EB" w:rsidRPr="000E10EB" w:rsidRDefault="000E10EB" w:rsidP="000E10EB">
      <w:pPr>
        <w:jc w:val="both"/>
        <w:rPr>
          <w:rFonts w:ascii="Arial" w:hAnsi="Arial" w:cs="Arial"/>
        </w:rPr>
      </w:pPr>
    </w:p>
    <w:p w14:paraId="4B8C8D7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A1BCB72" w14:textId="2563EF35" w:rsidR="000E10EB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valider la réception d’une commande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Il peut aussi dans le cas ou durant le transport des produits soit détruit modifier la valeur de la quantité reçue.</w:t>
      </w:r>
      <w:r w:rsidRPr="007B6BE4">
        <w:rPr>
          <w:rFonts w:ascii="Arial" w:hAnsi="Arial" w:cs="Arial"/>
        </w:rPr>
        <w:t xml:space="preserve"> </w:t>
      </w:r>
    </w:p>
    <w:p w14:paraId="4758BD9D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26F0AC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8FD267E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2BAA470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D432F68" w14:textId="66192E2D" w:rsidR="000E10EB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L’utilisateur choisie qu’elle commande il souhaite </w:t>
      </w:r>
      <w:r>
        <w:rPr>
          <w:rFonts w:ascii="Arial" w:hAnsi="Arial" w:cs="Arial"/>
          <w:color w:val="auto"/>
          <w:sz w:val="22"/>
          <w:szCs w:val="22"/>
        </w:rPr>
        <w:t>ajouter au stock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 via le bouton </w:t>
      </w:r>
      <w:r>
        <w:rPr>
          <w:rFonts w:ascii="Arial" w:hAnsi="Arial" w:cs="Arial"/>
          <w:color w:val="auto"/>
          <w:sz w:val="22"/>
          <w:szCs w:val="22"/>
        </w:rPr>
        <w:t>ajouter au stock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757E96FF" w14:textId="01ABA01E" w:rsidR="000E10EB" w:rsidRPr="000563F9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Le système affiche les informations nécessaires au bon fonctionnement du cas d’utilisation </w:t>
      </w:r>
      <w:r>
        <w:rPr>
          <w:rFonts w:ascii="Arial" w:hAnsi="Arial" w:cs="Arial"/>
          <w:color w:val="auto"/>
          <w:sz w:val="22"/>
          <w:szCs w:val="22"/>
        </w:rPr>
        <w:t>réceptionner une livraison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473BC43" w14:textId="77777777" w:rsidR="000E10EB" w:rsidRPr="009B1176" w:rsidRDefault="000E10EB" w:rsidP="000E10EB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71C80D58" wp14:editId="22B4ECEB">
            <wp:extent cx="6253818" cy="4286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766" cy="430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7D286" w14:textId="575A6F6E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F1C845" wp14:editId="6802DF63">
            <wp:extent cx="6081343" cy="4219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98" cy="4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noProof/>
          <w:color w:val="auto"/>
        </w:rPr>
        <w:drawing>
          <wp:inline distT="0" distB="0" distL="0" distR="0" wp14:anchorId="7E3FAACC" wp14:editId="49FBBF99">
            <wp:extent cx="6101922" cy="422761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34" cy="42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1F78" w14:textId="77777777" w:rsidR="000E10EB" w:rsidRDefault="000E10EB" w:rsidP="000E10EB">
      <w:pPr>
        <w:pStyle w:val="Titre2"/>
        <w:rPr>
          <w:rFonts w:ascii="Arial" w:hAnsi="Arial" w:cs="Arial"/>
          <w:i/>
          <w:iCs/>
          <w:color w:val="auto"/>
        </w:rPr>
      </w:pPr>
    </w:p>
    <w:p w14:paraId="32342852" w14:textId="0F418DA8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2829939E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10E2EC" w14:textId="77777777" w:rsidR="000E10EB" w:rsidRPr="007B6BE4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8DE5F5C" w14:textId="2CE53C2D" w:rsidR="000E10EB" w:rsidRPr="007B6BE4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2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60E40F3D" w14:textId="6CDC52A2" w:rsidR="000E10EB" w:rsidRPr="000E10EB" w:rsidRDefault="000E10EB" w:rsidP="000E10EB">
      <w:pPr>
        <w:jc w:val="center"/>
      </w:pPr>
      <w:r>
        <w:rPr>
          <w:noProof/>
        </w:rPr>
        <w:drawing>
          <wp:inline distT="0" distB="0" distL="0" distR="0" wp14:anchorId="114CEDB1" wp14:editId="22A7382E">
            <wp:extent cx="6136201" cy="42513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65" cy="42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9095" w14:textId="298268A2" w:rsidR="000E10EB" w:rsidRDefault="000E10EB" w:rsidP="000E10EB">
      <w:pPr>
        <w:rPr>
          <w:rFonts w:ascii="Arial" w:hAnsi="Arial" w:cs="Arial"/>
        </w:rPr>
      </w:pPr>
    </w:p>
    <w:p w14:paraId="0AF4CDCB" w14:textId="6C87AE66" w:rsidR="000E10EB" w:rsidRDefault="000E10EB" w:rsidP="000E10EB">
      <w:pPr>
        <w:rPr>
          <w:rFonts w:ascii="Arial" w:hAnsi="Arial" w:cs="Arial"/>
        </w:rPr>
      </w:pPr>
    </w:p>
    <w:p w14:paraId="2C3A6E1A" w14:textId="589E966A" w:rsidR="000E10EB" w:rsidRDefault="000E10EB" w:rsidP="000E10EB">
      <w:pPr>
        <w:rPr>
          <w:rFonts w:ascii="Arial" w:hAnsi="Arial" w:cs="Arial"/>
        </w:rPr>
      </w:pPr>
    </w:p>
    <w:p w14:paraId="56FD3879" w14:textId="4B6C5D3D" w:rsidR="000E10EB" w:rsidRDefault="000E10EB" w:rsidP="000E10EB">
      <w:pPr>
        <w:rPr>
          <w:rFonts w:ascii="Arial" w:hAnsi="Arial" w:cs="Arial"/>
        </w:rPr>
      </w:pPr>
    </w:p>
    <w:p w14:paraId="1741BA7D" w14:textId="4F9C1245" w:rsidR="000E10EB" w:rsidRDefault="000E10EB" w:rsidP="000E10EB">
      <w:pPr>
        <w:rPr>
          <w:rFonts w:ascii="Arial" w:hAnsi="Arial" w:cs="Arial"/>
        </w:rPr>
      </w:pPr>
    </w:p>
    <w:p w14:paraId="3175B822" w14:textId="0C25CCBE" w:rsidR="000E10EB" w:rsidRDefault="000E10EB" w:rsidP="000E10EB">
      <w:pPr>
        <w:rPr>
          <w:rFonts w:ascii="Arial" w:hAnsi="Arial" w:cs="Arial"/>
        </w:rPr>
      </w:pPr>
    </w:p>
    <w:p w14:paraId="212C4714" w14:textId="3AAF8AA1" w:rsidR="000E10EB" w:rsidRDefault="000E10EB" w:rsidP="000E10EB">
      <w:pPr>
        <w:rPr>
          <w:rFonts w:ascii="Arial" w:hAnsi="Arial" w:cs="Arial"/>
        </w:rPr>
      </w:pPr>
    </w:p>
    <w:p w14:paraId="7B661D73" w14:textId="1784B240" w:rsidR="000E10EB" w:rsidRDefault="000E10EB" w:rsidP="000E10EB">
      <w:pPr>
        <w:rPr>
          <w:rFonts w:ascii="Arial" w:hAnsi="Arial" w:cs="Arial"/>
        </w:rPr>
      </w:pPr>
    </w:p>
    <w:p w14:paraId="58B70343" w14:textId="0004FC28" w:rsidR="000E10EB" w:rsidRDefault="000E10EB" w:rsidP="000E10EB">
      <w:pPr>
        <w:rPr>
          <w:rFonts w:ascii="Arial" w:hAnsi="Arial" w:cs="Arial"/>
        </w:rPr>
      </w:pPr>
    </w:p>
    <w:p w14:paraId="5A4A43B3" w14:textId="77777777" w:rsidR="000E10EB" w:rsidRDefault="000E10EB" w:rsidP="000E10EB">
      <w:pPr>
        <w:rPr>
          <w:rFonts w:ascii="Arial" w:hAnsi="Arial" w:cs="Arial"/>
        </w:rPr>
      </w:pPr>
    </w:p>
    <w:p w14:paraId="6EE65FD8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16F7D8C2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D43448C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8A97FEE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9DBBD4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33BA336" w14:textId="77777777" w:rsidR="000E10EB" w:rsidRPr="007B6BE4" w:rsidRDefault="000E10EB" w:rsidP="000E10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C523D7D" wp14:editId="6A0DC04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11760" w14:textId="77777777" w:rsidR="000E10EB" w:rsidRPr="007B6BE4" w:rsidRDefault="000E10EB" w:rsidP="000E10EB">
      <w:pPr>
        <w:rPr>
          <w:rFonts w:ascii="Arial" w:hAnsi="Arial" w:cs="Arial"/>
        </w:rPr>
      </w:pPr>
    </w:p>
    <w:p w14:paraId="691A7FA9" w14:textId="77777777" w:rsidR="000E10EB" w:rsidRPr="00C87915" w:rsidRDefault="000E10EB" w:rsidP="000E10EB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8A062AB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BF5FFA7" w14:textId="77777777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</w:p>
    <w:p w14:paraId="73F669C4" w14:textId="07387C2D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E10EB" w:rsidRPr="007B6BE4" w14:paraId="1A4CFD90" w14:textId="77777777" w:rsidTr="00AC5118">
        <w:tc>
          <w:tcPr>
            <w:tcW w:w="2255" w:type="dxa"/>
          </w:tcPr>
          <w:p w14:paraId="4F4470B3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FA45D78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A28149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846AC4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E10EB" w:rsidRPr="007B6BE4" w14:paraId="60D9AA6C" w14:textId="77777777" w:rsidTr="00AC5118">
        <w:tc>
          <w:tcPr>
            <w:tcW w:w="2255" w:type="dxa"/>
          </w:tcPr>
          <w:p w14:paraId="16A82CE5" w14:textId="4FEE857F" w:rsidR="000E10EB" w:rsidRPr="007B6BE4" w:rsidRDefault="000E10EB" w:rsidP="000E10EB">
            <w:pPr>
              <w:tabs>
                <w:tab w:val="center" w:pos="1019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</w:t>
            </w:r>
            <w:proofErr w:type="spellEnd"/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CCF0DC7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E507B29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091B501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7CBE8E95" w14:textId="77777777" w:rsidTr="00AC5118">
        <w:tc>
          <w:tcPr>
            <w:tcW w:w="2255" w:type="dxa"/>
          </w:tcPr>
          <w:p w14:paraId="196BE0E1" w14:textId="7C67B09A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A9EE3F0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C9B63FA" w14:textId="0C7D8B01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105735FB" w14:textId="474A62BB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218A8381" w14:textId="77777777" w:rsidTr="00AC5118">
        <w:tc>
          <w:tcPr>
            <w:tcW w:w="2255" w:type="dxa"/>
          </w:tcPr>
          <w:p w14:paraId="3570F75F" w14:textId="0BAA7B3F" w:rsidR="000E10EB" w:rsidRPr="00C87915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9CEBA1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C72376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4A8246E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4CC6BEBA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F8FC852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4A05016D" w14:textId="77777777" w:rsidR="000E10EB" w:rsidRPr="007B6BE4" w:rsidRDefault="000E10EB" w:rsidP="000E10E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3D14946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98D28A6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175D5939" w14:textId="77777777" w:rsidR="000E10EB" w:rsidRPr="007B6BE4" w:rsidRDefault="000E10EB" w:rsidP="000E10EB">
      <w:pPr>
        <w:jc w:val="both"/>
        <w:rPr>
          <w:rFonts w:ascii="Arial" w:hAnsi="Arial" w:cs="Arial"/>
          <w:sz w:val="24"/>
          <w:szCs w:val="24"/>
        </w:rPr>
      </w:pPr>
    </w:p>
    <w:p w14:paraId="7334AF47" w14:textId="77777777" w:rsidR="000E10EB" w:rsidRPr="007B6BE4" w:rsidRDefault="000E10EB" w:rsidP="000E10EB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735334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FBECD9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1BA2F6E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BA4655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2B290DA3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0FD002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4FACAA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43C57C3" w14:textId="77777777" w:rsidR="000E10EB" w:rsidRDefault="000E10EB" w:rsidP="000E10EB"/>
    <w:p w14:paraId="19FF7C14" w14:textId="77777777" w:rsidR="000E10EB" w:rsidRDefault="000E10EB" w:rsidP="000E10EB"/>
    <w:p w14:paraId="7947D37E" w14:textId="77777777" w:rsidR="000E10EB" w:rsidRDefault="000E10EB" w:rsidP="000E10EB"/>
    <w:p w14:paraId="53898CDF" w14:textId="77777777" w:rsidR="000E10EB" w:rsidRDefault="000E10EB" w:rsidP="000E10EB"/>
    <w:p w14:paraId="5EEE29D7" w14:textId="77777777" w:rsidR="000E10EB" w:rsidRDefault="000E10EB" w:rsidP="000E10EB"/>
    <w:p w14:paraId="3EFB956C" w14:textId="77777777" w:rsidR="00725334" w:rsidRDefault="00725334"/>
    <w:sectPr w:rsidR="00725334" w:rsidSect="006B3C66"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C960B6E" w14:textId="77777777" w:rsidR="006B3C66" w:rsidRDefault="000E10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1582D" w14:textId="77777777" w:rsidR="006B3C66" w:rsidRDefault="000E10EB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EB"/>
    <w:rsid w:val="000E10EB"/>
    <w:rsid w:val="0072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F4E9"/>
  <w15:chartTrackingRefBased/>
  <w15:docId w15:val="{41AA628A-EA30-4202-92BF-5CC75914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EB"/>
  </w:style>
  <w:style w:type="paragraph" w:styleId="Titre1">
    <w:name w:val="heading 1"/>
    <w:basedOn w:val="Normal"/>
    <w:next w:val="Normal"/>
    <w:link w:val="Titre1Car"/>
    <w:uiPriority w:val="9"/>
    <w:qFormat/>
    <w:rsid w:val="000E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1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E10E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E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0EB"/>
  </w:style>
  <w:style w:type="table" w:styleId="Grilledutableau">
    <w:name w:val="Table Grid"/>
    <w:basedOn w:val="TableauNormal"/>
    <w:uiPriority w:val="59"/>
    <w:rsid w:val="000E1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2020-06-06T15:14:00Z</dcterms:created>
  <dcterms:modified xsi:type="dcterms:W3CDTF">2020-06-06T15:22:00Z</dcterms:modified>
</cp:coreProperties>
</file>