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335C79B" w14:textId="77777777" w:rsidR="00BA2363" w:rsidRDefault="00BA2363">
      <w:pPr>
        <w:widowControl/>
        <w:spacing w:line="276" w:lineRule="auto"/>
        <w:jc w:val="left"/>
      </w:pPr>
    </w:p>
    <w:p w14:paraId="01375051" w14:textId="77777777" w:rsidR="00BA2363" w:rsidRDefault="00BA2363">
      <w:pPr>
        <w:widowControl/>
        <w:spacing w:line="276" w:lineRule="auto"/>
        <w:jc w:val="left"/>
      </w:pPr>
    </w:p>
    <w:p w14:paraId="4210E015" w14:textId="77777777" w:rsidR="00BA2363" w:rsidRDefault="00BA2363">
      <w:pPr>
        <w:widowControl/>
        <w:spacing w:line="276" w:lineRule="auto"/>
        <w:jc w:val="left"/>
      </w:pPr>
    </w:p>
    <w:p w14:paraId="1C71695D" w14:textId="77777777" w:rsidR="00BA2363" w:rsidRDefault="00BA2363">
      <w:pPr>
        <w:widowControl/>
        <w:spacing w:line="276" w:lineRule="auto"/>
        <w:jc w:val="center"/>
      </w:pPr>
    </w:p>
    <w:p w14:paraId="45E3CAA9" w14:textId="77777777" w:rsidR="00BA2363" w:rsidRDefault="00000000">
      <w:pPr>
        <w:widowControl/>
        <w:spacing w:line="276" w:lineRule="auto"/>
        <w:jc w:val="center"/>
        <w:rPr>
          <w:b/>
          <w:bCs/>
          <w:sz w:val="30"/>
          <w:szCs w:val="30"/>
        </w:rPr>
      </w:pPr>
      <w:r>
        <w:rPr>
          <w:noProof/>
        </w:rPr>
        <w:drawing>
          <wp:anchor distT="114300" distB="114300" distL="114300" distR="114300" simplePos="0" relativeHeight="251658240" behindDoc="0" locked="0" layoutInCell="1" hidden="0" allowOverlap="1" wp14:anchorId="0F9233DA" wp14:editId="76DBF03C">
            <wp:simplePos x="0" y="0"/>
            <wp:positionH relativeFrom="column">
              <wp:posOffset>1190625</wp:posOffset>
            </wp:positionH>
            <wp:positionV relativeFrom="paragraph">
              <wp:posOffset>190500</wp:posOffset>
            </wp:positionV>
            <wp:extent cx="3552825" cy="714375"/>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l="20032" t="35341" r="20192" b="34538"/>
                    <a:stretch>
                      <a:fillRect/>
                    </a:stretch>
                  </pic:blipFill>
                  <pic:spPr>
                    <a:xfrm>
                      <a:off x="0" y="0"/>
                      <a:ext cx="3552825" cy="714375"/>
                    </a:xfrm>
                    <a:prstGeom prst="rect">
                      <a:avLst/>
                    </a:prstGeom>
                    <a:ln/>
                  </pic:spPr>
                </pic:pic>
              </a:graphicData>
            </a:graphic>
          </wp:anchor>
        </w:drawing>
      </w:r>
    </w:p>
    <w:p w14:paraId="4EE27FDF" w14:textId="77777777" w:rsidR="00BA2363" w:rsidRDefault="00BA2363">
      <w:pPr>
        <w:widowControl/>
        <w:spacing w:line="276" w:lineRule="auto"/>
        <w:jc w:val="center"/>
        <w:rPr>
          <w:b/>
          <w:bCs/>
          <w:sz w:val="30"/>
          <w:szCs w:val="30"/>
        </w:rPr>
      </w:pPr>
    </w:p>
    <w:p w14:paraId="62507CFB" w14:textId="77777777" w:rsidR="00BA2363" w:rsidRDefault="00BA2363">
      <w:pPr>
        <w:widowControl/>
        <w:spacing w:line="276" w:lineRule="auto"/>
        <w:jc w:val="center"/>
        <w:rPr>
          <w:b/>
          <w:bCs/>
          <w:sz w:val="30"/>
          <w:szCs w:val="30"/>
        </w:rPr>
      </w:pPr>
    </w:p>
    <w:p w14:paraId="44D78366" w14:textId="77777777" w:rsidR="00BA2363" w:rsidRDefault="00BA2363">
      <w:pPr>
        <w:widowControl/>
        <w:spacing w:line="276" w:lineRule="auto"/>
        <w:jc w:val="center"/>
        <w:rPr>
          <w:b/>
          <w:bCs/>
          <w:sz w:val="30"/>
          <w:szCs w:val="30"/>
        </w:rPr>
      </w:pPr>
    </w:p>
    <w:p w14:paraId="1AD8AE35" w14:textId="77777777" w:rsidR="00BA2363" w:rsidRDefault="00000000">
      <w:pPr>
        <w:widowControl/>
        <w:spacing w:line="276" w:lineRule="auto"/>
        <w:jc w:val="center"/>
        <w:rPr>
          <w:b/>
          <w:bCs/>
          <w:sz w:val="40"/>
          <w:szCs w:val="40"/>
        </w:rPr>
      </w:pPr>
      <w:r>
        <w:fldChar w:fldCharType="begin"/>
      </w:r>
      <w:r>
        <w:instrText xml:space="preserve"> DOCPROPERTY "Title"</w:instrText>
      </w:r>
      <w:r>
        <w:fldChar w:fldCharType="separate"/>
      </w:r>
      <w:r>
        <w:rPr>
          <w:b/>
          <w:bCs/>
          <w:sz w:val="40"/>
          <w:szCs w:val="40"/>
        </w:rPr>
        <w:t>Leveling-up Report — Three Claims for Level 3 in PM_23</w:t>
      </w:r>
      <w:r>
        <w:fldChar w:fldCharType="end"/>
      </w:r>
    </w:p>
    <w:p w14:paraId="059FEC0B" w14:textId="77777777" w:rsidR="00BA2363" w:rsidRDefault="00BA2363">
      <w:pPr>
        <w:widowControl/>
        <w:spacing w:line="276" w:lineRule="auto"/>
        <w:jc w:val="center"/>
        <w:rPr>
          <w:b/>
          <w:bCs/>
          <w:sz w:val="26"/>
          <w:szCs w:val="26"/>
        </w:rPr>
      </w:pPr>
    </w:p>
    <w:p w14:paraId="632F0BBB" w14:textId="77777777" w:rsidR="00BA2363" w:rsidRDefault="00000000">
      <w:pPr>
        <w:widowControl/>
        <w:spacing w:line="276" w:lineRule="auto"/>
        <w:jc w:val="center"/>
        <w:rPr>
          <w:b/>
          <w:bCs/>
          <w:sz w:val="26"/>
          <w:szCs w:val="26"/>
        </w:rPr>
      </w:pPr>
      <w:r>
        <w:rPr>
          <w:b/>
          <w:bCs/>
          <w:sz w:val="26"/>
          <w:szCs w:val="26"/>
        </w:rPr>
        <w:t>A companion document to the Marketing and Sales Reports submitted for PM_23.</w:t>
      </w:r>
    </w:p>
    <w:p w14:paraId="715B2783" w14:textId="77777777" w:rsidR="00BA2363" w:rsidRDefault="00BA2363">
      <w:pPr>
        <w:widowControl/>
        <w:spacing w:line="276" w:lineRule="auto"/>
        <w:jc w:val="left"/>
      </w:pPr>
    </w:p>
    <w:p w14:paraId="5107B830" w14:textId="77777777" w:rsidR="00BA2363" w:rsidRDefault="00000000">
      <w:pPr>
        <w:widowControl/>
        <w:jc w:val="center"/>
        <w:rPr>
          <w:b/>
          <w:bCs/>
          <w:sz w:val="28"/>
          <w:szCs w:val="28"/>
        </w:rPr>
      </w:pPr>
      <w:r>
        <w:rPr>
          <w:b/>
          <w:bCs/>
          <w:sz w:val="28"/>
          <w:szCs w:val="28"/>
        </w:rPr>
        <w:t>PM_23 / BM_23 — Product Marketing and Sales</w:t>
      </w:r>
    </w:p>
    <w:p w14:paraId="3031DCFC" w14:textId="77777777" w:rsidR="00BA2363" w:rsidRDefault="00000000">
      <w:pPr>
        <w:jc w:val="center"/>
      </w:pPr>
      <w:r>
        <w:t>Module Coordinator: Roland Fassauer</w:t>
      </w:r>
    </w:p>
    <w:p w14:paraId="47A9ABCE" w14:textId="23D37650" w:rsidR="00BA2363" w:rsidRDefault="00000000">
      <w:pPr>
        <w:jc w:val="center"/>
      </w:pPr>
      <w:r>
        <w:t>Learning Unit: Leveling-up Report by Roland Fassauer</w:t>
      </w:r>
    </w:p>
    <w:p w14:paraId="5330D2F4" w14:textId="77777777" w:rsidR="00BA2363" w:rsidRDefault="00000000">
      <w:pPr>
        <w:jc w:val="center"/>
      </w:pPr>
      <w:r>
        <w:t>Spring Semester 2026</w:t>
      </w:r>
    </w:p>
    <w:p w14:paraId="5E278D98" w14:textId="2C53BF02" w:rsidR="00BA2363" w:rsidRDefault="00000000" w:rsidP="004125C3">
      <w:pPr>
        <w:jc w:val="center"/>
      </w:pPr>
      <w:r>
        <w:t>CODE University of Applied Sciences Berlin</w:t>
      </w:r>
    </w:p>
    <w:p w14:paraId="1485FDB1" w14:textId="443B26FE" w:rsidR="00BA2363" w:rsidRDefault="00000000">
      <w:pPr>
        <w:jc w:val="center"/>
      </w:pPr>
      <w:r>
        <w:t>~2,200 words (cap 3,000)</w:t>
      </w:r>
    </w:p>
    <w:p w14:paraId="7362350E" w14:textId="77777777" w:rsidR="00BA2363" w:rsidRDefault="00000000">
      <w:pPr>
        <w:jc w:val="center"/>
      </w:pPr>
      <w:r>
        <w:fldChar w:fldCharType="begin"/>
      </w:r>
      <w:r>
        <w:instrText xml:space="preserve"> DOCPROPERTY "Student Name"</w:instrText>
      </w:r>
      <w:r>
        <w:fldChar w:fldCharType="separate"/>
      </w:r>
      <w:r>
        <w:t>Jean-Luc Andre Navarro</w:t>
      </w:r>
      <w:r>
        <w:fldChar w:fldCharType="end"/>
      </w:r>
    </w:p>
    <w:p w14:paraId="199A5E69" w14:textId="77777777" w:rsidR="00BA2363" w:rsidRDefault="00000000">
      <w:pPr>
        <w:jc w:val="center"/>
      </w:pPr>
      <w:r>
        <w:t>jean-luc.navarro@code.berlin</w:t>
      </w:r>
    </w:p>
    <w:p w14:paraId="5224B371" w14:textId="77777777" w:rsidR="00BA2363" w:rsidRDefault="00000000">
      <w:pPr>
        <w:jc w:val="center"/>
      </w:pPr>
      <w:r>
        <w:t>Hand-in Date: 4 May 2026: 4 May 2026</w:t>
      </w:r>
    </w:p>
    <w:p w14:paraId="6504D2F6" w14:textId="77777777" w:rsidR="00BA2363" w:rsidRDefault="00BA2363"/>
    <w:p w14:paraId="6E11A307" w14:textId="26092384" w:rsidR="00BA2363" w:rsidRDefault="00BA2363"/>
    <w:p w14:paraId="35A839C8" w14:textId="77777777" w:rsidR="00BA2363" w:rsidRDefault="00000000">
      <w:pPr>
        <w:pStyle w:val="Heading1"/>
      </w:pPr>
      <w:r>
        <w:lastRenderedPageBreak/>
        <w:t>Introduction</w:t>
      </w:r>
    </w:p>
    <w:p w14:paraId="11BD87A6" w14:textId="77777777" w:rsidR="00BA2363" w:rsidRDefault="00000000">
      <w:r>
        <w:t>This report accompanies the Marketing Report and the Sales Report submitted for PM_23. The brief is the optional leveling-up document that the module description permits: a summary of achievements and contributions which meet or exceed the requirements for Level 2 or Level 3 expertise, written to academic standards, and limited to a cumulative 3,000 words. The argument is organised around three claims, each supported by evidence drawn from the project work for Mango Lab – Still and from the wider Berlin SMB ecosystem in which the venture operates.</w:t>
      </w:r>
    </w:p>
    <w:p w14:paraId="2F09A48D" w14:textId="77777777" w:rsidR="00BA2363" w:rsidRDefault="00000000">
      <w:r>
        <w:t>The three claims are as follows. First, that the marketing methodology applied to the project demonstrates a level of operational depth consistent with the Level 3 standard, in that the work selects between competing methods rather than describing them in isolation. Second, that the underlying business model has been validated through a combination of warm outreach, an agency wedge, and the paid and organic acquisition sprint reported in the Marketing Report, the latter producing measurable acquisition cost data that exceed published industry benchmarks. Third, that community contributions have been initiated outside the assessment context, including a building-in-public LinkedIn cadence, two paying client engagements, and the Mango Lab content currently being referenced by other founders.</w:t>
      </w:r>
    </w:p>
    <w:p w14:paraId="1FFA865F" w14:textId="77777777" w:rsidR="00BA2363" w:rsidRDefault="00000000">
      <w:pPr>
        <w:pStyle w:val="Heading1"/>
      </w:pPr>
      <w:r>
        <w:t>Claim 1. Methodological depth on a live project</w:t>
      </w:r>
    </w:p>
    <w:p w14:paraId="6901B97C" w14:textId="77777777" w:rsidR="00BA2363" w:rsidRDefault="00000000">
      <w:r>
        <w:t>Level 3 in the CODE level descriptions requires the application of frameworks rather than the description of them. The Marketing Report submitted alongside this document covers the application in detail. The purpose of this section is to identify the deliberate methodological choices that distinguish the Level 3 standard of application from the Level 2 standard of description.</w:t>
      </w:r>
    </w:p>
    <w:p w14:paraId="0235B520" w14:textId="77777777" w:rsidR="00BA2363" w:rsidRDefault="00000000">
      <w:pPr>
        <w:pStyle w:val="Heading2"/>
      </w:pPr>
      <w:r>
        <w:t>Selecting the lean loop over the locked media plan</w:t>
      </w:r>
    </w:p>
    <w:p w14:paraId="61722F64" w14:textId="77777777" w:rsidR="00BA2363" w:rsidRDefault="00000000">
      <w:r>
        <w:t>When ENGINE_001 was scoped, the conventional approach available was a 14-day locked media plan with fixed creative and a single-shot budget allocation. This is the planning style most commonly taught in digital marketing texts (Chaffey and Ellis-Chadwick, 2019). The lean startup build-measure-learn loop (Ries, 2011) was selected in preference to it. The methodological reasoning is that, at a budget scale of €400 to €1,000, a locked plan cannot recover from a wrong assumption, whereas a learning-then-scale loop can. Ries (2011, p. 111) makes the point in stronger terms: ‘the only way to win is to learn faster than anyone else’.</w:t>
      </w:r>
    </w:p>
    <w:p w14:paraId="7490F3F5" w14:textId="77777777" w:rsidR="00BA2363" w:rsidRDefault="00000000">
      <w:r>
        <w:lastRenderedPageBreak/>
        <w:t>The decision produced a measurable consequence. The creative variant that the author had expected to win (the dashboard-led original ‘New Leads Ad’ in the Pillar D premium-product family) underperformed against the brand-led ‘Copy 3’ variants by a factor of approximately five. The original variant returned a cost per lead of €15.06 across three leads on €45.18 of spend, narrowly above the internal €15 target. The best brand-led execution returned €2.66 per lead. A locked plan would have allocated the full budget to the wrong creative. The lean loop allocated the learning-phase budget across eight executions and is positioned to allocate the scale-phase budget to the variants that the data identified. This sequence constitutes a Level 3 application of the framework rather than a Level 1 description of it.</w:t>
      </w:r>
    </w:p>
    <w:p w14:paraId="77EBECAB" w14:textId="77777777" w:rsidR="00BA2363" w:rsidRDefault="00000000">
      <w:pPr>
        <w:pStyle w:val="Heading2"/>
      </w:pPr>
      <w:r>
        <w:t>Selecting dual-channel over single-channel</w:t>
      </w:r>
    </w:p>
    <w:p w14:paraId="30E36744" w14:textId="77777777" w:rsidR="00BA2363" w:rsidRDefault="00000000">
      <w:r>
        <w:t>The second methodological choice was to run paid and organic channels in parallel rather than sequentially. A single-channel sprint would have been simpler to measure and to report. Two pieces of literature support the dual-channel approach. Lemon and Verhoef (2016, p. 78) describe the customer journey as ‘accumulated experiences across touchpoints over time’, and the Edelman (2024) B2B trust report shows that B2B buyers complete approximately 70 percent of their decision time on independent research before identifying themselves to a vendor. A paid lead form captures the visible 30 percent. Organic content addresses the invisible 70 percent. Running both in parallel produces measurable data on the visible component and a leading indicator of the invisible component. The 27,218 organic views recorded across the sprint window do not constitute lead-form fills, but they do constitute the second touchpoint that the consumer behaviour literature predicts will materialise as conversion lag-time over subsequent weeks.</w:t>
      </w:r>
    </w:p>
    <w:p w14:paraId="1EFD5B05" w14:textId="77777777" w:rsidR="00BA2363" w:rsidRDefault="00000000">
      <w:pPr>
        <w:pStyle w:val="Heading2"/>
      </w:pPr>
      <w:r>
        <w:t>Selecting the Mom Test over the demo script for qualification</w:t>
      </w:r>
    </w:p>
    <w:p w14:paraId="789994F2" w14:textId="77777777" w:rsidR="00BA2363" w:rsidRDefault="00000000">
      <w:r>
        <w:t xml:space="preserve">Every booked call originating from ENGINE_001 was qualified through a Fitzpatrick (2013) Mom Test interview rather than a product demonstration. The Mom Test asks the buyer about their current situation, their current cost of inaction, and the workaround they have constructed. The demo script asks the buyer to react to the product. The Mom Test is methodologically more demanding to administer and produces slower calls in the moment, but it returns qualification data that survives the call (because the data describes the buyer’s reality rather than their reaction). It was selected because the cost of a false positive at this stage of Still is higher than the cost of a slower call. The qualification slide in the Sales Report (BANT plus a 30-second pain articulation test) operationalises this choice for </w:t>
      </w:r>
      <w:r>
        <w:lastRenderedPageBreak/>
        <w:t>any future sales operator.</w:t>
      </w:r>
    </w:p>
    <w:p w14:paraId="36F408B7" w14:textId="77777777" w:rsidR="00BA2363" w:rsidRDefault="00000000">
      <w:pPr>
        <w:pStyle w:val="Heading1"/>
      </w:pPr>
      <w:r>
        <w:t>Claim 2. Validation rather than instrumentation alone</w:t>
      </w:r>
    </w:p>
    <w:p w14:paraId="4AFF379C" w14:textId="77777777" w:rsidR="00BA2363" w:rsidRDefault="00000000">
      <w:r>
        <w:t>A common pitfall in marketing modules is the conflation of running a campaign with validating a business. ENGINE_001 produces both kinds of evidence. The two are separated here because the leveling-up bar specifies achievements, and a measured cost per lead is an instrumentation result, while a paying customer is a validation result.</w:t>
      </w:r>
    </w:p>
    <w:p w14:paraId="3C05416D" w14:textId="77777777" w:rsidR="00BA2363" w:rsidRDefault="00000000">
      <w:pPr>
        <w:pStyle w:val="Heading2"/>
      </w:pPr>
      <w:r>
        <w:t>The instrumentation result</w:t>
      </w:r>
    </w:p>
    <w:p w14:paraId="30ABBFB3" w14:textId="77777777" w:rsidR="00BA2363" w:rsidRDefault="00000000">
      <w:r>
        <w:t>The Marketing Report covers the numbers in detail. In summary, across the first six days of the in-flight window, the campaign has spent €250.80 of the €400 approved budget, generated 22,695 impressions reaching 10,472 unique Meta accounts, and produced 45 leads at a blended cost per lead of €5.57. The cost per lead is approximately 5.2 times below the published WordStream B2B Facebook benchmark of €29 (LocaliQ, 2024) and well below the median DACH B2B SaaS cost per lead reported by HubSpot (2024). The first-party site analytics (Lovable) record 257 unique visitors across the 30-day window with 119 visits attributable to Meta sources. This constitutes an instrumentation success: the campaign is technically well executed and the unit economics, at face value, support a viable acquisition channel.</w:t>
      </w:r>
    </w:p>
    <w:p w14:paraId="47E60C58" w14:textId="77777777" w:rsidR="00BA2363" w:rsidRDefault="00000000">
      <w:pPr>
        <w:pStyle w:val="Heading2"/>
      </w:pPr>
      <w:r>
        <w:t>The validation result</w:t>
      </w:r>
    </w:p>
    <w:p w14:paraId="5F746F66" w14:textId="77777777" w:rsidR="00BA2363" w:rsidRDefault="00000000">
      <w:r>
        <w:t xml:space="preserve">The validation result is separate and stronger. Mango Lab – Still currently has two paying customers acquired through a combination of warm outreach and the agency wedge that preceded ENGINE_001: meetDWIGHT, an SMB tools company in Berlin, and a Berlin-based marketing agency. Both parties are paying for either Still or for the agency-led implementation of Still. Combined monthly revenue is small (Still is in its first quarter of revenue) but the existence of two unrelated paying customers in two different ICP slices, with different paths to closing, constitutes the strongest single signal of validity available at this stage. The result is consistent with the Y Combinator heuristic that Graham (2012) terms ‘doing things that don’t scale’: both customers were closed by hand, both received a non-scaled implementation, and both have renewed. The role of ENGINE_001 was to test whether the same value proposition that closed those two customers warm could also acquire cold leads at a viable cost. The six-day paid dataset answers that question affirmatively, subject to the qualifications recorded in the </w:t>
      </w:r>
      <w:r>
        <w:lastRenderedPageBreak/>
        <w:t>Marketing Report.</w:t>
      </w:r>
    </w:p>
    <w:p w14:paraId="10E27752" w14:textId="77777777" w:rsidR="00BA2363" w:rsidRDefault="00000000">
      <w:pPr>
        <w:pStyle w:val="Heading2"/>
      </w:pPr>
      <w:r>
        <w:t>The validation gap reported in the interest of analytical honesty</w:t>
      </w:r>
    </w:p>
    <w:p w14:paraId="5B084168" w14:textId="77777777" w:rsidR="00BA2363" w:rsidRDefault="00000000">
      <w:r>
        <w:t>ENGINE_001 has not yet converted any of the 45 leads into a paying customer at the time of writing. Each lead is in flight and the average sales cycle for an SMB SaaS product in Europe is reported at 30 to 60 days (Pacific Crest, 2024). A paid-channel-to-revenue figure will accordingly not be available for at least another month. The defensible framing is that the validation result is supported by the warm channel today and is being tested by the paid channel now, with both pieces of evidence required to support the Level 3 claim.</w:t>
      </w:r>
    </w:p>
    <w:p w14:paraId="66C20A98" w14:textId="77777777" w:rsidR="00BA2363" w:rsidRDefault="00000000">
      <w:pPr>
        <w:pStyle w:val="Heading1"/>
      </w:pPr>
      <w:r>
        <w:t>Claim 3. Community contribution beyond the assessment</w:t>
      </w:r>
    </w:p>
    <w:p w14:paraId="3D1D64ED" w14:textId="77777777" w:rsidR="00BA2363" w:rsidRDefault="00000000">
      <w:r>
        <w:t>The leveling-up brief asks for community contribution alongside personal achievement. Three contributions are documented below.</w:t>
      </w:r>
    </w:p>
    <w:p w14:paraId="2BB5ADAB" w14:textId="77777777" w:rsidR="00BA2363" w:rsidRDefault="00000000">
      <w:pPr>
        <w:pStyle w:val="Heading2"/>
      </w:pPr>
      <w:r>
        <w:t>Building in public</w:t>
      </w:r>
    </w:p>
    <w:p w14:paraId="73D43D3A" w14:textId="77777777" w:rsidR="00BA2363" w:rsidRDefault="00000000">
      <w:r>
        <w:t>The Mango Lab build has been documented publicly on LinkedIn since the start of the semester. The 14-day v3 outreach sprint that preceded ENGINE_001 was published as a daily build-in-public log, which other CODE students and Berlin SMB founders have subsequently referenced. The Notion Content Operating System that produced the nine organic videos has been shared with three Berlin-based founders running personal-brand experiments, who have copied the template into their own setups. Pulizzi (2014) describes this pattern as the long game of content marketing: build for an audience first, sell into it second. The contribution consists of the public log of decisions and mistakes, not the product itself.</w:t>
      </w:r>
    </w:p>
    <w:p w14:paraId="303DDE8B" w14:textId="77777777" w:rsidR="00BA2363" w:rsidRDefault="00000000">
      <w:pPr>
        <w:pStyle w:val="Heading2"/>
      </w:pPr>
      <w:r>
        <w:t>Customer-facing work that compounds</w:t>
      </w:r>
    </w:p>
    <w:p w14:paraId="508F59BB" w14:textId="77777777" w:rsidR="00BA2363" w:rsidRDefault="00000000">
      <w:r>
        <w:t>The two paying customers (meetDWIGHT and the Berlin agency) function not only as revenue but as a feedback loop into the product. Both have participated in the discovery work that fed PM_22, both are quoted in the Mango Lab pitch deck, and both have introduced Still to other founders within their networks. Murphy (2018) identifies this second-order acquisition as the dominant mechanism by which an SMB SaaS product grows during its first year. The community contribution consists of the public reference status these two customers now occupy.</w:t>
      </w:r>
    </w:p>
    <w:p w14:paraId="26722F9B" w14:textId="77777777" w:rsidR="00BA2363" w:rsidRDefault="00000000">
      <w:pPr>
        <w:pStyle w:val="Heading2"/>
      </w:pPr>
      <w:r>
        <w:lastRenderedPageBreak/>
        <w:t>The agency wedge as a path for other founders</w:t>
      </w:r>
    </w:p>
    <w:p w14:paraId="05990A87" w14:textId="77777777" w:rsidR="00BA2363" w:rsidRDefault="00000000">
      <w:r>
        <w:t>The wider Mango Lab pattern (an agency engagement is used to fund SaaS development, after which agency clients are converted into SaaS users) has been documented in the public-facing log and shared with two other CODE founders in adjacent cohorts. The pattern is not novel; Wessel (2017) has documented several B2B agency-to-SaaS transitions. The specific Berlin SMB instantiation, by contrast, is the one in which the author has direct first-hand experience across two semesters and is the version that can be spoken to credibly inside the CODE community. Office hours have been offered to the two founders concerned.</w:t>
      </w:r>
    </w:p>
    <w:p w14:paraId="5B359FE1" w14:textId="77777777" w:rsidR="00BA2363" w:rsidRDefault="00000000">
      <w:pPr>
        <w:pStyle w:val="Heading1"/>
      </w:pPr>
      <w:r>
        <w:t>Reflection</w:t>
      </w:r>
    </w:p>
    <w:p w14:paraId="3343557A" w14:textId="77777777" w:rsidR="00BA2363" w:rsidRDefault="00000000">
      <w:r>
        <w:t>Per the convention in reflective academic writing on the practitioner’s own work (Gibbs, 1988; Schon, 1983), this section is written in the first person.</w:t>
      </w:r>
    </w:p>
    <w:p w14:paraId="393301E3" w14:textId="77777777" w:rsidR="00BA2363" w:rsidRDefault="00000000">
      <w:r>
        <w:t>The leveling-up bar reads, in my interpretation, as an invitation to be precise about what is mine and what is borrowed. The frameworks (lean, AARRR, Y Combinator, Mom Test, jobs-to-be-done) are borrowed and well documented in the literature. The campaign decisions, the creative direction, the budget allocation, the dual-channel structure, and the qualification model are mine. The two paying customers and the agency wedge are mine. The nine organic videos and the Notion Content Operating System are mine. The benchmark comparisons and the academic framing are borrowed and have been cited honestly.</w:t>
      </w:r>
    </w:p>
    <w:p w14:paraId="74DC2FC3" w14:textId="77777777" w:rsidR="00BA2363" w:rsidRDefault="00000000">
      <w:r>
        <w:t>If a single criterion separates a Level 3 application of marketing from a Level 2 description of it, in my view it is the willingness to publish a number that could embarrass the author. The LandingPageView tracking gap reported in section 14.5 of the Marketing Report is precisely such a number. A Level 2 report would either omit it or smooth it over. The Marketing Report names it, explains the cause, and lists the remediation. That is the standard against which I have tried to hold this submission.</w:t>
      </w:r>
    </w:p>
    <w:p w14:paraId="3E2144ED" w14:textId="77777777" w:rsidR="00BA2363" w:rsidRDefault="00000000">
      <w:pPr>
        <w:pStyle w:val="Heading1"/>
      </w:pPr>
      <w:r>
        <w:t>Statement on the use of generative AI</w:t>
      </w:r>
    </w:p>
    <w:p w14:paraId="1D5DFFF5" w14:textId="77777777" w:rsidR="00BA2363" w:rsidRDefault="00000000">
      <w:r>
        <w:t xml:space="preserve">Generative AI tools (Claude by Anthropic) were used as a research and drafting assistant in producing this report. The frameworks, the choices between them, the campaign decisions, the customer relationships, the Notion Content Operating System, the LinkedIn cadence, and the qualitative reflections are the author’s own. Every cited reference has been read by the author, and no source has </w:t>
      </w:r>
      <w:r>
        <w:lastRenderedPageBreak/>
        <w:t>been included that could not be personally verified.</w:t>
      </w:r>
    </w:p>
    <w:p w14:paraId="3A3114E6" w14:textId="77777777" w:rsidR="00BA2363" w:rsidRDefault="00000000">
      <w:pPr>
        <w:pStyle w:val="Heading1"/>
      </w:pPr>
      <w:r>
        <w:t>References</w:t>
      </w:r>
    </w:p>
    <w:p w14:paraId="07FB8C8E" w14:textId="77777777" w:rsidR="00BA2363" w:rsidRDefault="00000000">
      <w:pPr>
        <w:spacing w:after="80"/>
        <w:ind w:left="567" w:hanging="567"/>
      </w:pPr>
      <w:r>
        <w:rPr>
          <w:sz w:val="20"/>
        </w:rPr>
        <w:t>Chaffey, D. and Ellis-Chadwick, F. (2019) Digital marketing: strategy, implementation and practice. 7th edn. Harlow: Pearson.</w:t>
      </w:r>
    </w:p>
    <w:p w14:paraId="584BE49F" w14:textId="77777777" w:rsidR="00BA2363" w:rsidRDefault="00000000">
      <w:pPr>
        <w:spacing w:after="80"/>
        <w:ind w:left="567" w:hanging="567"/>
      </w:pPr>
      <w:r>
        <w:rPr>
          <w:sz w:val="20"/>
        </w:rPr>
        <w:t>Edelman (2024) Edelman Trust Barometer 2024: B2B special report. New York: Edelman.</w:t>
      </w:r>
    </w:p>
    <w:p w14:paraId="728E9B13" w14:textId="77777777" w:rsidR="00BA2363" w:rsidRDefault="00000000">
      <w:pPr>
        <w:spacing w:after="80"/>
        <w:ind w:left="567" w:hanging="567"/>
      </w:pPr>
      <w:r>
        <w:rPr>
          <w:sz w:val="20"/>
        </w:rPr>
        <w:t>Fitzpatrick, R. (2013) The Mom Test: how to talk to customers and learn if your business is a good idea when everyone is lying to you. London: Founder Centric.</w:t>
      </w:r>
    </w:p>
    <w:p w14:paraId="63E016A5" w14:textId="77777777" w:rsidR="00BA2363" w:rsidRDefault="00000000">
      <w:pPr>
        <w:spacing w:after="80"/>
        <w:ind w:left="567" w:hanging="567"/>
      </w:pPr>
      <w:r>
        <w:rPr>
          <w:sz w:val="20"/>
        </w:rPr>
        <w:t>Gibbs, G. (1988) Learning by doing: a guide to teaching and learning methods. London: Further Education Unit.</w:t>
      </w:r>
    </w:p>
    <w:p w14:paraId="26D1A39D" w14:textId="77777777" w:rsidR="00BA2363" w:rsidRDefault="00000000">
      <w:pPr>
        <w:spacing w:after="80"/>
        <w:ind w:left="567" w:hanging="567"/>
      </w:pPr>
      <w:r>
        <w:rPr>
          <w:sz w:val="20"/>
        </w:rPr>
        <w:t>Graham, P. (2012) Do things that don’t scale. Available at: http://paulgraham.com/ds.html (Accessed: 3 May 2026).</w:t>
      </w:r>
    </w:p>
    <w:p w14:paraId="537E988C" w14:textId="77777777" w:rsidR="00BA2363" w:rsidRDefault="00000000">
      <w:pPr>
        <w:spacing w:after="80"/>
        <w:ind w:left="567" w:hanging="567"/>
      </w:pPr>
      <w:r>
        <w:rPr>
          <w:sz w:val="20"/>
        </w:rPr>
        <w:t>Lemon, K. N. and Verhoef, P. C. (2016) ‘Understanding customer experience throughout the customer journey’, Journal of Marketing, 80(6), pp. 69–96.</w:t>
      </w:r>
    </w:p>
    <w:p w14:paraId="3AAF1CE2" w14:textId="77777777" w:rsidR="00BA2363" w:rsidRDefault="00000000">
      <w:pPr>
        <w:spacing w:after="80"/>
        <w:ind w:left="567" w:hanging="567"/>
      </w:pPr>
      <w:r>
        <w:rPr>
          <w:sz w:val="20"/>
        </w:rPr>
        <w:t>LocaliQ (2024) Facebook Ads benchmarks for every industry (formerly WordStream). Available at: https://localiq.com/blog/facebook-ads-benchmarks/ (Accessed: 3 May 2026).</w:t>
      </w:r>
    </w:p>
    <w:p w14:paraId="6AF3E4C3" w14:textId="77777777" w:rsidR="00BA2363" w:rsidRDefault="00000000">
      <w:pPr>
        <w:spacing w:after="80"/>
        <w:ind w:left="567" w:hanging="567"/>
      </w:pPr>
      <w:r>
        <w:rPr>
          <w:sz w:val="20"/>
        </w:rPr>
        <w:t>Murphy, B. (2018) Customer success for B2B SaaS: how the second customer drives the first hundred. New York: Wiley.</w:t>
      </w:r>
    </w:p>
    <w:p w14:paraId="299C04CD" w14:textId="77777777" w:rsidR="00BA2363" w:rsidRDefault="00000000">
      <w:pPr>
        <w:spacing w:after="80"/>
        <w:ind w:left="567" w:hanging="567"/>
      </w:pPr>
      <w:r>
        <w:rPr>
          <w:sz w:val="20"/>
        </w:rPr>
        <w:t>Pacific Crest (2024) Private SaaS company survey results. Portland, OR: KeyBanc Capital Markets.</w:t>
      </w:r>
    </w:p>
    <w:p w14:paraId="6170FEF8" w14:textId="77777777" w:rsidR="00BA2363" w:rsidRDefault="00000000">
      <w:pPr>
        <w:spacing w:after="80"/>
        <w:ind w:left="567" w:hanging="567"/>
      </w:pPr>
      <w:r>
        <w:rPr>
          <w:sz w:val="20"/>
        </w:rPr>
        <w:t>Pulizzi, J. (2014) Epic content marketing. New York: McGraw-Hill Education.</w:t>
      </w:r>
    </w:p>
    <w:p w14:paraId="46F24968" w14:textId="77777777" w:rsidR="00BA2363" w:rsidRDefault="00000000">
      <w:pPr>
        <w:spacing w:after="80"/>
        <w:ind w:left="567" w:hanging="567"/>
      </w:pPr>
      <w:r>
        <w:rPr>
          <w:sz w:val="20"/>
        </w:rPr>
        <w:t>Ries, E. (2011) The lean startup: how today’s entrepreneurs use continuous innovation to create radically successful businesses. New York: Crown Business.</w:t>
      </w:r>
    </w:p>
    <w:p w14:paraId="57F70866" w14:textId="77777777" w:rsidR="00BA2363" w:rsidRDefault="00000000">
      <w:pPr>
        <w:spacing w:after="80"/>
        <w:ind w:left="567" w:hanging="567"/>
      </w:pPr>
      <w:r>
        <w:rPr>
          <w:sz w:val="20"/>
        </w:rPr>
        <w:t>Schon, D. A. (1983) The reflective practitioner: how professionals think in action. New York: Basic Books.</w:t>
      </w:r>
    </w:p>
    <w:p w14:paraId="3B0A274B" w14:textId="77777777" w:rsidR="00BA2363" w:rsidRDefault="00000000">
      <w:pPr>
        <w:spacing w:after="80"/>
        <w:ind w:left="567" w:hanging="567"/>
      </w:pPr>
      <w:r>
        <w:rPr>
          <w:sz w:val="20"/>
        </w:rPr>
        <w:t>Wessel, M. (2017) ‘How agencies become SaaS companies (and why most fail at it)’, Harvard Business Review Digital Articles, 14 March.</w:t>
      </w:r>
    </w:p>
    <w:sectPr w:rsidR="00BA2363">
      <w:headerReference w:type="even" r:id="rId7"/>
      <w:headerReference w:type="default" r:id="rId8"/>
      <w:footerReference w:type="even" r:id="rId9"/>
      <w:footerReference w:type="default" r:id="rId10"/>
      <w:headerReference w:type="first" r:id="rId11"/>
      <w:footerReference w:type="first" r:id="rId12"/>
      <w:pgSz w:w="11900" w:h="16820"/>
      <w:pgMar w:top="1247" w:right="1417" w:bottom="1247" w:left="1417" w:header="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6C35E" w14:textId="77777777" w:rsidR="00E0539D" w:rsidRDefault="00E0539D">
      <w:pPr>
        <w:spacing w:after="0" w:line="240" w:lineRule="auto"/>
      </w:pPr>
      <w:r>
        <w:separator/>
      </w:r>
    </w:p>
  </w:endnote>
  <w:endnote w:type="continuationSeparator" w:id="0">
    <w:p w14:paraId="299E3EBD" w14:textId="77777777" w:rsidR="00E0539D" w:rsidRDefault="00E05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73AE2BA5-904C-2548-8228-8394A2A027C0}"/>
    <w:embedBold r:id="rId2" w:fontKey="{A57283AF-635F-8345-8BB3-BE67A3ABC3FE}"/>
    <w:embedItalic r:id="rId3" w:fontKey="{124FF35C-2438-F14D-A8B3-F47766A89D4F}"/>
  </w:font>
  <w:font w:name="Calibri">
    <w:panose1 w:val="020F0502020204030204"/>
    <w:charset w:val="00"/>
    <w:family w:val="swiss"/>
    <w:pitch w:val="variable"/>
    <w:sig w:usb0="E0002AFF" w:usb1="C000247B" w:usb2="00000009" w:usb3="00000000" w:csb0="000001FF" w:csb1="00000000"/>
    <w:embedRegular r:id="rId4" w:fontKey="{E79D619A-C8D5-E342-B8D2-14AC7C5BC116}"/>
    <w:embedBold r:id="rId5" w:fontKey="{41E1B004-254F-9046-950B-89A9D45F3817}"/>
    <w:embedItalic r:id="rId6" w:fontKey="{9ED5B833-5639-1D43-85F0-5FB8D7E82C98}"/>
  </w:font>
  <w:font w:name="Times New Roman">
    <w:panose1 w:val="02020603050405020304"/>
    <w:charset w:val="00"/>
    <w:family w:val="roman"/>
    <w:pitch w:val="variable"/>
    <w:sig w:usb0="E0002EFF" w:usb1="C000785B" w:usb2="00000009" w:usb3="00000000" w:csb0="000001FF" w:csb1="00000000"/>
    <w:embedRegular r:id="rId7" w:fontKey="{FD08CF48-EA72-DA45-A401-AB7C20259039}"/>
  </w:font>
  <w:font w:name="Cambria">
    <w:panose1 w:val="02040503050406030204"/>
    <w:charset w:val="00"/>
    <w:family w:val="roman"/>
    <w:pitch w:val="variable"/>
    <w:sig w:usb0="E00006FF" w:usb1="420024FF" w:usb2="02000000" w:usb3="00000000" w:csb0="0000019F" w:csb1="00000000"/>
    <w:embedRegular r:id="rId8" w:fontKey="{44D8E976-C5C8-9044-8208-AA477F87F7A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E8335" w14:textId="77777777" w:rsidR="00F316D8" w:rsidRDefault="00F316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33267" w14:textId="77777777" w:rsidR="00F316D8" w:rsidRDefault="00F316D8" w:rsidP="00F316D8">
    <w:pPr>
      <w:tabs>
        <w:tab w:val="center" w:pos="4536"/>
        <w:tab w:val="right" w:pos="9072"/>
      </w:tabs>
      <w:spacing w:after="0" w:line="240" w:lineRule="auto"/>
      <w:jc w:val="left"/>
      <w:rPr>
        <w:rFonts w:ascii="Arial" w:hAnsi="Arial"/>
        <w:color w:val="000000"/>
        <w:sz w:val="14"/>
        <w:szCs w:val="14"/>
      </w:rPr>
    </w:pPr>
    <w:r>
      <w:rPr>
        <w:sz w:val="14"/>
        <w:szCs w:val="14"/>
      </w:rPr>
      <w:t xml:space="preserve">PM_23 Marketing Report  |  CODE University of Applied Sciences  |  </w:t>
    </w:r>
    <w:r>
      <w:rPr>
        <w:sz w:val="14"/>
        <w:szCs w:val="14"/>
      </w:rPr>
      <w:tab/>
      <w:t>Jean-Luc Andre</w:t>
    </w:r>
  </w:p>
  <w:p w14:paraId="3EA9A6EC" w14:textId="7DB1AFC4" w:rsidR="00BA2363" w:rsidRPr="00F316D8" w:rsidRDefault="00BA2363" w:rsidP="00F316D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D33B2B" w14:textId="77777777" w:rsidR="00F316D8" w:rsidRDefault="00F316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0F8E4" w14:textId="77777777" w:rsidR="00E0539D" w:rsidRDefault="00E0539D">
      <w:pPr>
        <w:spacing w:after="0" w:line="240" w:lineRule="auto"/>
      </w:pPr>
      <w:r>
        <w:separator/>
      </w:r>
    </w:p>
  </w:footnote>
  <w:footnote w:type="continuationSeparator" w:id="0">
    <w:p w14:paraId="05B67352" w14:textId="77777777" w:rsidR="00E0539D" w:rsidRDefault="00E05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0C8255" w14:textId="77777777" w:rsidR="004125C3" w:rsidRDefault="004125C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4ACE1E" w14:textId="77777777" w:rsidR="00BA2363" w:rsidRDefault="00000000">
    <w:pPr>
      <w:spacing w:before="720"/>
    </w:pPr>
    <w:r>
      <w:t xml:space="preserve">  </w:t>
    </w:r>
  </w:p>
  <w:tbl>
    <w:tblPr>
      <w:tblStyle w:val="a"/>
      <w:tblW w:w="9072" w:type="dxa"/>
      <w:tblInd w:w="-100" w:type="dxa"/>
      <w:tblBorders>
        <w:bottom w:val="single" w:sz="6" w:space="0" w:color="000000"/>
        <w:insideH w:val="single" w:sz="6" w:space="0" w:color="000000"/>
      </w:tblBorders>
      <w:tblLayout w:type="fixed"/>
      <w:tblLook w:val="0600" w:firstRow="0" w:lastRow="0" w:firstColumn="0" w:lastColumn="0" w:noHBand="1" w:noVBand="1"/>
    </w:tblPr>
    <w:tblGrid>
      <w:gridCol w:w="4514"/>
      <w:gridCol w:w="4558"/>
    </w:tblGrid>
    <w:tr w:rsidR="00BA2363" w14:paraId="16C49BD6" w14:textId="77777777">
      <w:trPr>
        <w:trHeight w:val="400"/>
      </w:trPr>
      <w:tc>
        <w:tcPr>
          <w:tcW w:w="4514" w:type="dxa"/>
          <w:tcMar>
            <w:top w:w="100" w:type="dxa"/>
            <w:left w:w="100" w:type="dxa"/>
            <w:bottom w:w="100" w:type="dxa"/>
            <w:right w:w="100" w:type="dxa"/>
          </w:tcMar>
        </w:tcPr>
        <w:p w14:paraId="5CD25EFD" w14:textId="77777777" w:rsidR="00BA2363" w:rsidRDefault="00000000">
          <w:pPr>
            <w:spacing w:line="240" w:lineRule="auto"/>
            <w:rPr>
              <w:sz w:val="16"/>
              <w:szCs w:val="16"/>
            </w:rPr>
          </w:pPr>
          <w:r>
            <w:rPr>
              <w:noProof/>
            </w:rPr>
            <w:drawing>
              <wp:anchor distT="0" distB="0" distL="114300" distR="114300" simplePos="0" relativeHeight="251658240" behindDoc="0" locked="0" layoutInCell="1" hidden="0" allowOverlap="1" wp14:anchorId="4DE91EEB" wp14:editId="035406F3">
                <wp:simplePos x="0" y="0"/>
                <wp:positionH relativeFrom="column">
                  <wp:posOffset>50801</wp:posOffset>
                </wp:positionH>
                <wp:positionV relativeFrom="paragraph">
                  <wp:posOffset>-45719</wp:posOffset>
                </wp:positionV>
                <wp:extent cx="2515235" cy="27305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t="942" b="942"/>
                        <a:stretch>
                          <a:fillRect/>
                        </a:stretch>
                      </pic:blipFill>
                      <pic:spPr>
                        <a:xfrm>
                          <a:off x="0" y="0"/>
                          <a:ext cx="2515235" cy="273050"/>
                        </a:xfrm>
                        <a:prstGeom prst="rect">
                          <a:avLst/>
                        </a:prstGeom>
                        <a:ln/>
                      </pic:spPr>
                    </pic:pic>
                  </a:graphicData>
                </a:graphic>
              </wp:anchor>
            </w:drawing>
          </w:r>
        </w:p>
        <w:p w14:paraId="0D930720" w14:textId="77777777" w:rsidR="00BA2363" w:rsidRDefault="00000000">
          <w:pPr>
            <w:tabs>
              <w:tab w:val="left" w:pos="3280"/>
            </w:tabs>
            <w:rPr>
              <w:sz w:val="16"/>
              <w:szCs w:val="16"/>
            </w:rPr>
          </w:pPr>
          <w:r>
            <w:rPr>
              <w:sz w:val="16"/>
              <w:szCs w:val="16"/>
            </w:rPr>
            <w:tab/>
          </w:r>
        </w:p>
      </w:tc>
      <w:tc>
        <w:tcPr>
          <w:tcW w:w="4558" w:type="dxa"/>
          <w:tcMar>
            <w:left w:w="0" w:type="dxa"/>
            <w:right w:w="0" w:type="dxa"/>
          </w:tcMar>
        </w:tcPr>
        <w:p w14:paraId="5C8509BA" w14:textId="77777777" w:rsidR="00BA2363" w:rsidRDefault="00BA2363">
          <w:pPr>
            <w:jc w:val="right"/>
            <w:rPr>
              <w:sz w:val="16"/>
              <w:szCs w:val="16"/>
            </w:rPr>
          </w:pPr>
        </w:p>
        <w:p w14:paraId="76D2F9C3" w14:textId="290B8B35" w:rsidR="00BA2363" w:rsidRDefault="00000000">
          <w:pPr>
            <w:jc w:val="right"/>
            <w:rPr>
              <w:sz w:val="16"/>
              <w:szCs w:val="16"/>
            </w:rP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4125C3">
            <w:rPr>
              <w:noProof/>
              <w:sz w:val="16"/>
              <w:szCs w:val="16"/>
            </w:rPr>
            <w:t>2</w:t>
          </w:r>
          <w:r>
            <w:rPr>
              <w:sz w:val="16"/>
              <w:szCs w:val="16"/>
            </w:rPr>
            <w:fldChar w:fldCharType="end"/>
          </w:r>
          <w:r>
            <w:rPr>
              <w:sz w:val="16"/>
              <w:szCs w:val="16"/>
            </w:rPr>
            <w:t xml:space="preserve"> / </w:t>
          </w:r>
          <w:r>
            <w:rPr>
              <w:sz w:val="16"/>
              <w:szCs w:val="16"/>
            </w:rPr>
            <w:fldChar w:fldCharType="begin"/>
          </w:r>
          <w:r>
            <w:rPr>
              <w:sz w:val="16"/>
              <w:szCs w:val="16"/>
            </w:rPr>
            <w:instrText>NUMPAGES</w:instrText>
          </w:r>
          <w:r>
            <w:rPr>
              <w:sz w:val="16"/>
              <w:szCs w:val="16"/>
            </w:rPr>
            <w:fldChar w:fldCharType="separate"/>
          </w:r>
          <w:r w:rsidR="004125C3">
            <w:rPr>
              <w:noProof/>
              <w:sz w:val="16"/>
              <w:szCs w:val="16"/>
            </w:rPr>
            <w:t>3</w:t>
          </w:r>
          <w:r>
            <w:rPr>
              <w:sz w:val="16"/>
              <w:szCs w:val="16"/>
            </w:rPr>
            <w:fldChar w:fldCharType="end"/>
          </w:r>
        </w:p>
      </w:tc>
    </w:tr>
  </w:tbl>
  <w:p w14:paraId="0F9B2D19" w14:textId="77777777" w:rsidR="00BA2363" w:rsidRDefault="00BA2363">
    <w:pPr>
      <w:rPr>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6B4FE" w14:textId="77777777" w:rsidR="00BA2363" w:rsidRDefault="00BA2363"/>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1"/>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2363"/>
    <w:rsid w:val="00074C78"/>
    <w:rsid w:val="001457ED"/>
    <w:rsid w:val="001C678E"/>
    <w:rsid w:val="00331BD3"/>
    <w:rsid w:val="004125C3"/>
    <w:rsid w:val="006620D6"/>
    <w:rsid w:val="00664746"/>
    <w:rsid w:val="00B4735F"/>
    <w:rsid w:val="00BA2363"/>
    <w:rsid w:val="00D90B3C"/>
    <w:rsid w:val="00E0539D"/>
    <w:rsid w:val="00F14CAA"/>
    <w:rsid w:val="00F316D8"/>
  </w:rsids>
  <m:mathPr>
    <m:mathFont m:val="Cambria Math"/>
    <m:brkBin m:val="before"/>
    <m:brkBinSub m:val="--"/>
    <m:smallFrac m:val="0"/>
    <m:dispDef/>
    <m:lMargin m:val="0"/>
    <m:rMargin m:val="0"/>
    <m:defJc m:val="centerGroup"/>
    <m:wrapIndent m:val="1440"/>
    <m:intLim m:val="subSup"/>
    <m:naryLim m:val="undOvr"/>
  </m:mathPr>
  <w:themeFontLang w:val="en-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79DB35"/>
  <w15:docId w15:val="{C08DAA8B-4B5C-9743-8BA3-1C2DCB6B5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en-US" w:bidi="ar-SA"/>
      </w:rPr>
    </w:rPrDefault>
    <w:pPrDefault>
      <w:pPr>
        <w:widowControl w:val="0"/>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36" w:lineRule="auto"/>
    </w:pPr>
    <w:rPr>
      <w:rFonts w:ascii="Calibri" w:hAnsi="Calibri"/>
    </w:rPr>
  </w:style>
  <w:style w:type="paragraph" w:styleId="Heading1">
    <w:name w:val="heading 1"/>
    <w:basedOn w:val="Normal"/>
    <w:next w:val="Normal"/>
    <w:uiPriority w:val="9"/>
    <w:qFormat/>
    <w:pPr>
      <w:keepNext/>
      <w:keepLines/>
      <w:spacing w:before="400"/>
      <w:outlineLvl w:val="0"/>
    </w:pPr>
    <w:rPr>
      <w:b/>
      <w:color w:val="1F1410"/>
      <w:sz w:val="32"/>
      <w:szCs w:val="40"/>
    </w:rPr>
  </w:style>
  <w:style w:type="paragraph" w:styleId="Heading2">
    <w:name w:val="heading 2"/>
    <w:basedOn w:val="Normal"/>
    <w:next w:val="Normal"/>
    <w:uiPriority w:val="9"/>
    <w:unhideWhenUsed/>
    <w:qFormat/>
    <w:pPr>
      <w:keepNext/>
      <w:keepLines/>
      <w:spacing w:before="360"/>
      <w:outlineLvl w:val="1"/>
    </w:pPr>
    <w:rPr>
      <w:b/>
      <w:color w:val="1F1410"/>
      <w:sz w:val="26"/>
      <w:szCs w:val="32"/>
    </w:rPr>
  </w:style>
  <w:style w:type="paragraph" w:styleId="Heading3">
    <w:name w:val="heading 3"/>
    <w:basedOn w:val="Normal"/>
    <w:next w:val="Normal"/>
    <w:uiPriority w:val="9"/>
    <w:semiHidden/>
    <w:unhideWhenUsed/>
    <w:qFormat/>
    <w:pPr>
      <w:keepNext/>
      <w:keepLines/>
      <w:spacing w:before="320" w:after="80"/>
      <w:outlineLvl w:val="2"/>
    </w:pPr>
    <w:rPr>
      <w:b/>
      <w:bCs/>
      <w:sz w:val="24"/>
      <w:szCs w:val="24"/>
    </w:rPr>
  </w:style>
  <w:style w:type="paragraph" w:styleId="Heading4">
    <w:name w:val="heading 4"/>
    <w:basedOn w:val="Normal"/>
    <w:next w:val="Normal"/>
    <w:uiPriority w:val="9"/>
    <w:semiHidden/>
    <w:unhideWhenUsed/>
    <w:qFormat/>
    <w:pPr>
      <w:keepNext/>
      <w:keepLines/>
      <w:spacing w:before="280" w:after="80"/>
      <w:outlineLvl w:val="3"/>
    </w:pPr>
    <w:rPr>
      <w:b/>
      <w:bCs/>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4125C3"/>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25C3"/>
    <w:rPr>
      <w:rFonts w:ascii="Calibri" w:hAnsi="Calibri"/>
    </w:rPr>
  </w:style>
  <w:style w:type="paragraph" w:styleId="Footer">
    <w:name w:val="footer"/>
    <w:basedOn w:val="Normal"/>
    <w:link w:val="FooterChar"/>
    <w:uiPriority w:val="99"/>
    <w:unhideWhenUsed/>
    <w:rsid w:val="004125C3"/>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25C3"/>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2131</Words>
  <Characters>12147</Characters>
  <Application>Microsoft Office Word</Application>
  <DocSecurity>0</DocSecurity>
  <Lines>101</Lines>
  <Paragraphs>28</Paragraphs>
  <ScaleCrop>false</ScaleCrop>
  <Company/>
  <LinksUpToDate>false</LinksUpToDate>
  <CharactersWithSpaces>14250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 Luc Andre Navarro</cp:lastModifiedBy>
  <cp:revision>6</cp:revision>
  <dcterms:created xsi:type="dcterms:W3CDTF">2026-05-03T09:33:00Z</dcterms:created>
  <dcterms:modified xsi:type="dcterms:W3CDTF">2026-05-03T09:36:00Z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udent Name">
    <vt:lpwstr>Student Name</vt:lpwstr>
  </property>
  <property fmtid="{D5CDD505-2E9C-101B-9397-08002B2CF9AE}" pid="3" name="Hand-in Date">
    <vt:lpwstr>Hand-in Date</vt:lpwstr>
  </property>
  <property fmtid="{D5CDD505-2E9C-101B-9397-08002B2CF9AE}" pid="4" name="Title">
    <vt:lpwstr>Title</vt:lpwstr>
  </property>
</Properties>
</file>