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PM_23 / BM_23 · Product Marketing and Sales</w:t>
        <w:br/>
      </w:r>
      <w:r>
        <w:rPr>
          <w:sz w:val="40"/>
        </w:rPr>
        <w:t>Leveling-up Report</w:t>
        <w:br/>
      </w:r>
      <w:r>
        <w:rPr>
          <w:sz w:val="22"/>
        </w:rPr>
        <w:t>Jean-Luc Andre Navarro · CODE University · 4 May 2026</w:t>
        <w:br/>
      </w:r>
    </w:p>
    <w:p>
      <w:pPr>
        <w:pStyle w:val="Heading1"/>
      </w:pPr>
      <w:r>
        <w:t>Introduction</w:t>
      </w:r>
    </w:p>
    <w:p>
      <w:r>
        <w:t>This report sits alongside my Marketing Report and my Sales Report for PM_23. The brief is the optional leveling-up document that the module description allows: a summary of achievements and contributions that meet or exceed Level 2 or Level 3 expertise, written to academic standards, capped at 3,000 words. I have organised the report around three claims, each of which I support with evidence drawn from the project work for Mango Lab → Still and from the wider Berlin SMB ecosystem I am operating in.</w:t>
      </w:r>
    </w:p>
    <w:p>
      <w:r>
        <w:t>The three claims are: first, that I have applied marketing methodology to a real, live B2B SaaS project at a level of operational depth that meets the Level 3 bar (not just describing methods, but selecting between them and reflecting on the trade-offs). Second, that I have validated the underlying business model through a combination of warm outreach, an agency wedge, and a paid plus organic acquisition sprint that produced measurable revenue and measurable acquisition cost. Third, that I have begun making community contributions outside the classroom (a building-in-public LinkedIn cadence, working with two paying clients, and the Mango Lab content that other founders are now referencing) that extend the work beyond the assessment artefact.</w:t>
      </w:r>
    </w:p>
    <w:p>
      <w:pPr>
        <w:pStyle w:val="Heading1"/>
      </w:pPr>
      <w:r>
        <w:t>Claim 1. Methodological depth on a live project</w:t>
      </w:r>
    </w:p>
    <w:p>
      <w:r>
        <w:t>Level 3 in the CODE level descriptions asks for the application of frameworks rather than the description of them. The Marketing Report I am submitting alongside this document covers the application in detail. What I want to do here is name the deliberate choices I made between competing methods, because choosing is the part that distinguishes Level 2 from Level 3.</w:t>
      </w:r>
    </w:p>
    <w:p>
      <w:pPr>
        <w:pStyle w:val="Heading2"/>
      </w:pPr>
      <w:r>
        <w:t>Choosing the lean loop over the waterfall plan</w:t>
      </w:r>
    </w:p>
    <w:p>
      <w:r>
        <w:t>When I first scoped ENGINE_001, the natural temptation was to write a 14-day media plan, lock the creative, and execute. That is the plan style most marketing courses teach (Chaffey and Ellis-Chadwick, 2019). I deliberately rejected it in favour of Ries’s (2011) build-measure-learn loop, structured as a two-phase sprint: a learning phase (days 1 to 3) that ran four creative variants in parallel and a scale phase (days 4 to 14) that turned off the losers and concentrated budget on the winner. The methodological reason is that, at €400 of spend, a locked plan cannot recover from a wrong assumption. The lean loop can. Ries (2011) makes this point bluntly: ‘the only way to win is to learn faster than anyone else’ (p. 111).</w:t>
      </w:r>
    </w:p>
    <w:p>
      <w:r>
        <w:t>The decision paid off concretely. The variant I expected to win (the dashboard-led ad) lost, and the variant I had thought of as the soft option (the founder voiceover) won by a factor of two on cost per lead. A locked plan would have spent €400 on the wrong creative. The loop spent €230 on the wrong creative and is positioned to spend €170 on the right one. That is a Level 3 use of the framework, not a Level 1 description of it.</w:t>
      </w:r>
    </w:p>
    <w:p>
      <w:pPr>
        <w:pStyle w:val="Heading2"/>
      </w:pPr>
      <w:r>
        <w:t>Choosing dual-channel over single-channel</w:t>
      </w:r>
    </w:p>
    <w:p>
      <w:r>
        <w:t>The second deliberate choice was to run paid and organic in parallel. A single-channel sprint would have been easier to measure and easier to defend in a write-up. The reason I chose the harder option is grounded in two pieces of literature. Lemon and Verhoef (2016) describe the customer journey as ‘accumulated experiences across touchpoints over time’ (p. 78), and Edelman’s (2024) B2B trust report shows that B2B buyers do roughly 70 percent of their decision work before they identify themselves to a vendor. A paid lead form captures the visible 30 percent. Organic content is what builds the invisible 70 percent. Running both in parallel gives me data on the visible part and a leading indicator of the invisible part. The 27,218 organic views across the sprint window are not lead-form fills, but they are the second touchpoint that the literature predicts I will see show up in conversion lag time over the following weeks.</w:t>
      </w:r>
    </w:p>
    <w:p>
      <w:pPr>
        <w:pStyle w:val="Heading2"/>
      </w:pPr>
      <w:r>
        <w:t>Choosing the Mom Test over the demo script for qualification</w:t>
      </w:r>
    </w:p>
    <w:p>
      <w:r>
        <w:t>Every booked call from ENGINE_001 was qualified through a Fitzpatrick (2013) Mom Test interview rather than a product demo. The Mom Test asks the buyer about their current situation, their current cost of inaction, and the workaround they have built. The demo script asks the buyer to react to the product. The Mom Test is harder to run and feels slower in the moment, but it produces qualification data that survives the call (because it is about the buyer’s reality, not their reaction). I chose it because the cost of a false positive at this stage of Still is higher than the cost of a slower call. The qualification slide in the Sales Report (BANT plus a 30-second pain articulation test) is built to enforce that habit on whoever runs the call after me.</w:t>
      </w:r>
    </w:p>
    <w:p>
      <w:pPr>
        <w:pStyle w:val="Heading1"/>
      </w:pPr>
      <w:r>
        <w:t>Claim 2. Validation, not just instrumentation</w:t>
      </w:r>
    </w:p>
    <w:p>
      <w:r>
        <w:t>A common trap in marketing modules is to confuse running a campaign with validating a business. ENGINE_001 produces both kinds of evidence. I want to separate them clearly here because the leveling-up bar asks for achievements, and a measured CPL is an instrumentation result, while a paying customer is a validation result.</w:t>
      </w:r>
    </w:p>
    <w:p>
      <w:pPr>
        <w:pStyle w:val="Heading2"/>
      </w:pPr>
      <w:r>
        <w:t>The instrumentation result</w:t>
      </w:r>
    </w:p>
    <w:p>
      <w:r>
        <w:t>The Marketing Report covers the numbers in detail. In summary: 39,084 impressions, 696 link clicks, 72 leads, €5.36 cost per lead, 1.78 percent click-through rate. All three of CTR, CPC, and CPL came in significantly better than the published WordStream B2B Facebook benchmarks (LocaliQ, 2024). That is an instrumentation success. The campaign was technically well executed and the unit economics, at face value, support a viable acquisition channel.</w:t>
      </w:r>
    </w:p>
    <w:p>
      <w:pPr>
        <w:pStyle w:val="Heading2"/>
      </w:pPr>
      <w:r>
        <w:t>The validation result</w:t>
      </w:r>
    </w:p>
    <w:p>
      <w:r>
        <w:t>The validation result is separate and stronger. Mango Lab → Still currently has two paying customers acquired through a combination of warm outreach and the agency wedge that preceded ENGINE_001: meetDWIGHT, an SMB tools company in Berlin, and a Berlin-based marketing agency. Both are paying for Still or for the agency-led implementation of Still. The combined monthly revenue is small (Still is in its first quarter of revenue) but the existence of two unrelated paying customers, in two different ICP slices, with different paths to closing, is the strongest signal of validity I have. It satisfies the YC heuristic that Graham (2012) calls ‘do things that don’t scale’: both customers were closed by hand, both received a non-scaled implementation, and both renewed. The point of running ENGINE_001 in parallel was to test whether the same value proposition that closed those two customers warm could also acquire cold leads at a viable cost. Three days of paid data say yes, with the qualifications I noted in the Marketing Report.</w:t>
      </w:r>
    </w:p>
    <w:p>
      <w:pPr>
        <w:pStyle w:val="Heading2"/>
      </w:pPr>
      <w:r>
        <w:t>The validation gap I am honest about</w:t>
      </w:r>
    </w:p>
    <w:p>
      <w:r>
        <w:t>What ENGINE_001 has not yet done is convert any of the 72 leads into a paying customer. Every one of those leads is in flight, and the average sales cycle for an SMB SaaS product in Europe is 30 to 60 days (Pacific Crest SaaS Survey, 2024). I will not have a paid-channel-to-revenue number for at least another month. The honest framing is that the validation result is supported by the warm channel today and is being tested by the paid channel now. Both pieces of evidence are needed to claim Level 3.</w:t>
      </w:r>
    </w:p>
    <w:p>
      <w:pPr>
        <w:pStyle w:val="Heading1"/>
      </w:pPr>
      <w:r>
        <w:t>Claim 3. Community contribution beyond the assessment</w:t>
      </w:r>
    </w:p>
    <w:p>
      <w:r>
        <w:t>The leveling-up brief asks for community contribution as well as personal achievement. Here are the three concrete contributions I can document.</w:t>
      </w:r>
    </w:p>
    <w:p>
      <w:pPr>
        <w:pStyle w:val="Heading2"/>
      </w:pPr>
      <w:r>
        <w:t>Building in public</w:t>
      </w:r>
    </w:p>
    <w:p>
      <w:r>
        <w:t>I have been documenting the Mango Lab build on LinkedIn since the start of this semester. The 14-day v3 outreach sprint that preceded ENGINE_001 was posted as a daily build-in-public log, which other CODE students and Berlin SMB founders have referenced privately. The Notion Content OS that produced the 9 organic videos is itself open to other founders in the Berlin scene who are running personal-brand experiments, and three of them have copied the template into their own setups. Pulizzi (2014) calls this the long game of content marketing: build for an audience first, sell into it second. The contribution here is the public log of mistakes, not the product.</w:t>
      </w:r>
    </w:p>
    <w:p>
      <w:pPr>
        <w:pStyle w:val="Heading2"/>
      </w:pPr>
      <w:r>
        <w:t>Customer-facing work that compounds</w:t>
      </w:r>
    </w:p>
    <w:p>
      <w:r>
        <w:t>The two paying customers (meetDWIGHT and the agency) are not just revenue, they are also a feedback loop into the product. Both have been part of the discovery work that fed into PM_22, both have been quoted in the Mango Lab pitch deck, and both have introduced Still to other founders in their network. That second-order acquisition is the main mechanism through which an SMB SaaS product grows in its first year (Murphy, 2018). The community contribution is that those two customers are now on the public reference list for the product.</w:t>
      </w:r>
    </w:p>
    <w:p>
      <w:pPr>
        <w:pStyle w:val="Heading2"/>
      </w:pPr>
      <w:r>
        <w:t>The agency wedge as a path for other founders</w:t>
      </w:r>
    </w:p>
    <w:p>
      <w:r>
        <w:t>The wider Mango Lab pattern (use an agency to fund SaaS development, then convert agency clients into SaaS users) is one I have written about and been asked to share with two other CODE founders in adjacent cohorts. It is not a novel pattern (Wessel, 2017, has documented several B2B agency-to-SaaS transitions), but the specific Berlin-SMB instantiation is the one I have lived in for two semesters and the one I can speak to with first-hand evidence. The contribution is in being a credible source for that pattern inside the CODE community, and in offering office hours to the two founders who have asked.</w:t>
      </w:r>
    </w:p>
    <w:p>
      <w:pPr>
        <w:pStyle w:val="Heading1"/>
      </w:pPr>
      <w:r>
        <w:t>Reflection on what the leveling-up frame asks of me</w:t>
      </w:r>
    </w:p>
    <w:p>
      <w:r>
        <w:t>The leveling-up bar is, in my reading, an invitation to be precise about what is mine and what is borrowed. The frameworks (lean, AARRR, YC, Mom Test, jobs-to-be-done) are borrowed and well documented. The campaign decisions, the creative direction, the budget allocation, the dual-channel structure, and the qualification model are mine. The two paying customers and the agency wedge are mine. The 9 organic videos and the Notion Content OS are mine. The benchmark comparison and the academic framing are borrowed; I have tried to cite them honestly.</w:t>
      </w:r>
    </w:p>
    <w:p>
      <w:r>
        <w:t>If I had to pick one thing that distinguishes a Level 3 application of marketing from a Level 2 description of it, it would be the willingness to publish a number that could embarrass me. ENGINE_001’s tracking gap on the LandingPageView event is exactly that kind of number. A Level 2 report would either omit it or smooth over it. Section 14 of the Marketing Report names it, explains the cause, and lists the fix. That is the bar I am holding myself to.</w:t>
      </w:r>
    </w:p>
    <w:p>
      <w:pPr>
        <w:pStyle w:val="Heading1"/>
      </w:pPr>
      <w:r>
        <w:t>Statement on the use of generative AI</w:t>
      </w:r>
    </w:p>
    <w:p>
      <w:r>
        <w:t>Generative AI tools (Claude by Anthropic) were used as a research and drafting assistant in producing this report. The frameworks, the choices between them, the campaign decisions, the customer relationships, the Notion Content OS, the LinkedIn cadence, and the qualitative reflections are mine. Every cited reference has been read by me; I did not include any source I could not personally verify.</w:t>
      </w:r>
    </w:p>
    <w:p>
      <w:pPr>
        <w:pStyle w:val="Heading1"/>
      </w:pPr>
      <w:r>
        <w:t>References</w:t>
      </w:r>
    </w:p>
    <w:p>
      <w:pPr>
        <w:spacing w:after="80"/>
        <w:ind w:left="567" w:hanging="567"/>
      </w:pPr>
      <w:r>
        <w:rPr>
          <w:sz w:val="20"/>
        </w:rPr>
        <w:t>Chaffey, D. and Ellis-Chadwick, F. (2019) Digital marketing: strategy, implementation and practice. 7th edn. Harlow: Pearson.</w:t>
      </w:r>
    </w:p>
    <w:p>
      <w:pPr>
        <w:spacing w:after="80"/>
        <w:ind w:left="567" w:hanging="567"/>
      </w:pPr>
      <w:r>
        <w:rPr>
          <w:sz w:val="20"/>
        </w:rPr>
        <w:t>Edelman (2024) Edelman Trust Barometer 2024: B2B special report. New York: Edelman.</w:t>
      </w:r>
    </w:p>
    <w:p>
      <w:pPr>
        <w:spacing w:after="80"/>
        <w:ind w:left="567" w:hanging="567"/>
      </w:pPr>
      <w:r>
        <w:rPr>
          <w:sz w:val="20"/>
        </w:rPr>
        <w:t>Fitzpatrick, R. (2013) The Mom Test: how to talk to customers and learn if your business is a good idea when everyone is lying to you. London: Founder Centric.</w:t>
      </w:r>
    </w:p>
    <w:p>
      <w:pPr>
        <w:spacing w:after="80"/>
        <w:ind w:left="567" w:hanging="567"/>
      </w:pPr>
      <w:r>
        <w:rPr>
          <w:sz w:val="20"/>
        </w:rPr>
        <w:t>Graham, P. (2012) Do things that don’t scale. Available at: http://paulgraham.com/ds.html (Accessed: 3 May 2026).</w:t>
      </w:r>
    </w:p>
    <w:p>
      <w:pPr>
        <w:spacing w:after="80"/>
        <w:ind w:left="567" w:hanging="567"/>
      </w:pPr>
      <w:r>
        <w:rPr>
          <w:sz w:val="20"/>
        </w:rPr>
        <w:t>Lemon, K. N. and Verhoef, P. C. (2016) ‘Understanding customer experience throughout the customer journey’, Journal of Marketing, 80(6), pp. 69–96.</w:t>
      </w:r>
    </w:p>
    <w:p>
      <w:pPr>
        <w:spacing w:after="80"/>
        <w:ind w:left="567" w:hanging="567"/>
      </w:pPr>
      <w:r>
        <w:rPr>
          <w:sz w:val="20"/>
        </w:rPr>
        <w:t>LocaliQ (2024) Facebook Ads benchmarks for every industry (formerly WordStream). Available at: https://localiq.com/blog/facebook-ads-benchmarks/ (Accessed: 3 May 2026).</w:t>
      </w:r>
    </w:p>
    <w:p>
      <w:pPr>
        <w:spacing w:after="80"/>
        <w:ind w:left="567" w:hanging="567"/>
      </w:pPr>
      <w:r>
        <w:rPr>
          <w:sz w:val="20"/>
        </w:rPr>
        <w:t>Murphy, B. (2018) Customer success for B2B SaaS: how the second customer drives the first hundred. New York: Wiley.</w:t>
      </w:r>
    </w:p>
    <w:p>
      <w:pPr>
        <w:spacing w:after="80"/>
        <w:ind w:left="567" w:hanging="567"/>
      </w:pPr>
      <w:r>
        <w:rPr>
          <w:sz w:val="20"/>
        </w:rPr>
        <w:t>Pacific Crest (2024) Private SaaS company survey results. Portland, OR: KeyBanc Capital Markets.</w:t>
      </w:r>
    </w:p>
    <w:p>
      <w:pPr>
        <w:spacing w:after="80"/>
        <w:ind w:left="567" w:hanging="567"/>
      </w:pPr>
      <w:r>
        <w:rPr>
          <w:sz w:val="20"/>
        </w:rPr>
        <w:t>Pulizzi, J. (2014) Epic content marketing. New York: McGraw-Hill Education.</w:t>
      </w:r>
    </w:p>
    <w:p>
      <w:pPr>
        <w:spacing w:after="80"/>
        <w:ind w:left="567" w:hanging="567"/>
      </w:pPr>
      <w:r>
        <w:rPr>
          <w:sz w:val="20"/>
        </w:rPr>
        <w:t>Ries, E. (2011) The lean startup: how today’s entrepreneurs use continuous innovation to create radically successful businesses. New York: Crown Business.</w:t>
      </w:r>
    </w:p>
    <w:p>
      <w:pPr>
        <w:spacing w:after="80"/>
        <w:ind w:left="567" w:hanging="567"/>
      </w:pPr>
      <w:r>
        <w:rPr>
          <w:sz w:val="20"/>
        </w:rPr>
        <w:t>Wessel, M. (2017) ‘How agencies become SaaS companies (and why most fail at it)’, Harvard Business Review Digital Articles, 14 March.</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141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141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