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line="276" w:lineRule="auto"/>
        <w:jc w:val="left"/>
        <w:rPr/>
      </w:pPr>
      <w:r w:rsidDel="00000000" w:rsidR="00000000" w:rsidRPr="00000000">
        <w:rPr>
          <w:rtl w:val="0"/>
        </w:rPr>
      </w:r>
    </w:p>
    <w:p w:rsidR="00000000" w:rsidDel="00000000" w:rsidP="00000000" w:rsidRDefault="00000000" w:rsidRPr="00000000" w14:paraId="00000002">
      <w:pPr>
        <w:widowControl w:val="1"/>
        <w:spacing w:line="276" w:lineRule="auto"/>
        <w:jc w:val="left"/>
        <w:rPr/>
      </w:pPr>
      <w:r w:rsidDel="00000000" w:rsidR="00000000" w:rsidRPr="00000000">
        <w:rPr>
          <w:rtl w:val="0"/>
        </w:rPr>
      </w:r>
    </w:p>
    <w:p w:rsidR="00000000" w:rsidDel="00000000" w:rsidP="00000000" w:rsidRDefault="00000000" w:rsidRPr="00000000" w14:paraId="00000003">
      <w:pPr>
        <w:widowControl w:val="1"/>
        <w:spacing w:line="276" w:lineRule="auto"/>
        <w:jc w:val="left"/>
        <w:rPr/>
      </w:pPr>
      <w:r w:rsidDel="00000000" w:rsidR="00000000" w:rsidRPr="00000000">
        <w:rPr>
          <w:rtl w:val="0"/>
        </w:rPr>
      </w:r>
    </w:p>
    <w:p w:rsidR="00000000" w:rsidDel="00000000" w:rsidP="00000000" w:rsidRDefault="00000000" w:rsidRPr="00000000" w14:paraId="00000004">
      <w:pPr>
        <w:widowControl w:val="1"/>
        <w:spacing w:line="276" w:lineRule="auto"/>
        <w:jc w:val="center"/>
        <w:rPr/>
      </w:pPr>
      <w:r w:rsidDel="00000000" w:rsidR="00000000" w:rsidRPr="00000000">
        <w:rPr>
          <w:rtl w:val="0"/>
        </w:rPr>
      </w:r>
    </w:p>
    <w:p w:rsidR="00000000" w:rsidDel="00000000" w:rsidP="00000000" w:rsidRDefault="00000000" w:rsidRPr="00000000" w14:paraId="00000005">
      <w:pPr>
        <w:widowControl w:val="1"/>
        <w:spacing w:line="276" w:lineRule="auto"/>
        <w:jc w:val="center"/>
        <w:rPr>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190500</wp:posOffset>
            </wp:positionV>
            <wp:extent cx="3552825" cy="7143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34538" l="20032" r="20192" t="35341"/>
                    <a:stretch>
                      <a:fillRect/>
                    </a:stretch>
                  </pic:blipFill>
                  <pic:spPr>
                    <a:xfrm>
                      <a:off x="0" y="0"/>
                      <a:ext cx="3552825" cy="714375"/>
                    </a:xfrm>
                    <a:prstGeom prst="rect"/>
                    <a:ln/>
                  </pic:spPr>
                </pic:pic>
              </a:graphicData>
            </a:graphic>
          </wp:anchor>
        </w:drawing>
      </w:r>
    </w:p>
    <w:p w:rsidR="00000000" w:rsidDel="00000000" w:rsidP="00000000" w:rsidRDefault="00000000" w:rsidRPr="00000000" w14:paraId="00000006">
      <w:pPr>
        <w:widowControl w:val="1"/>
        <w:spacing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07">
      <w:pPr>
        <w:widowControl w:val="1"/>
        <w:spacing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08">
      <w:pPr>
        <w:widowControl w:val="1"/>
        <w:spacing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09">
      <w:pPr>
        <w:widowControl w:val="1"/>
        <w:spacing w:line="276" w:lineRule="auto"/>
        <w:jc w:val="center"/>
        <w:rPr>
          <w:b w:val="1"/>
          <w:bCs w:val="1"/>
          <w:sz w:val="40"/>
          <w:szCs w:val="40"/>
        </w:rPr>
      </w:pPr>
      <w:r w:rsidDel="00000000" w:rsidR="00000000" w:rsidRPr="00000000">
        <w:fldChar w:fldCharType="begin"/>
        <w:instrText xml:space="preserve"> DOCPROPERTY "Title"</w:instrText>
        <w:fldChar w:fldCharType="separate"/>
      </w:r>
      <w:r w:rsidDel="00000000" w:rsidR="00000000" w:rsidRPr="00000000">
        <w:rPr>
          <w:b w:val="1"/>
          <w:bCs w:val="1"/>
          <w:sz w:val="40"/>
          <w:szCs w:val="40"/>
          <w:rtl w:val="0"/>
        </w:rPr>
        <w:t>Sales Report — Mango Lab / Still B2B Cold-Outreach Enablement</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1"/>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B">
      <w:pPr>
        <w:widowControl w:val="1"/>
        <w:spacing w:line="276" w:lineRule="auto"/>
        <w:jc w:val="center"/>
        <w:rPr>
          <w:b w:val="1"/>
          <w:bCs w:val="1"/>
          <w:sz w:val="26"/>
          <w:szCs w:val="26"/>
        </w:rPr>
      </w:pPr>
      <w:r w:rsidDel="00000000" w:rsidR="00000000" w:rsidRPr="00000000">
        <w:rPr>
          <w:b w:val="1"/>
          <w:bCs w:val="1"/>
          <w:sz w:val="26"/>
          <w:szCs w:val="26"/>
          <w:rtl w:val="0"/>
        </w:rPr>
        <w:t>A working sales playbook for the Mango Lab outbound team.</w:t>
      </w:r>
    </w:p>
    <w:p w:rsidR="00000000" w:rsidDel="00000000" w:rsidP="00000000" w:rsidRDefault="00000000" w:rsidRPr="00000000" w14:paraId="0000000C">
      <w:pPr>
        <w:widowControl w:val="1"/>
        <w:spacing w:line="276" w:lineRule="auto"/>
        <w:jc w:val="left"/>
        <w:rPr/>
      </w:pPr>
      <w:r w:rsidDel="00000000" w:rsidR="00000000" w:rsidRPr="00000000">
        <w:rPr>
          <w:rtl w:val="0"/>
        </w:rPr>
      </w:r>
    </w:p>
    <w:p w:rsidR="00000000" w:rsidDel="00000000" w:rsidP="00000000" w:rsidRDefault="00000000" w:rsidRPr="00000000" w14:paraId="0000000D">
      <w:pPr>
        <w:widowControl w:val="1"/>
        <w:spacing w:line="276" w:lineRule="auto"/>
        <w:jc w:val="left"/>
        <w:rPr/>
      </w:pPr>
      <w:r w:rsidDel="00000000" w:rsidR="00000000" w:rsidRPr="00000000">
        <w:rPr>
          <w:rtl w:val="0"/>
        </w:rPr>
      </w:r>
    </w:p>
    <w:p w:rsidR="00000000" w:rsidDel="00000000" w:rsidP="00000000" w:rsidRDefault="00000000" w:rsidRPr="00000000" w14:paraId="0000000E">
      <w:pPr>
        <w:widowControl w:val="1"/>
        <w:spacing w:line="276" w:lineRule="auto"/>
        <w:jc w:val="left"/>
        <w:rPr/>
      </w:pPr>
      <w:r w:rsidDel="00000000" w:rsidR="00000000" w:rsidRPr="00000000">
        <w:rPr>
          <w:rtl w:val="0"/>
        </w:rPr>
      </w:r>
    </w:p>
    <w:p w:rsidR="00000000" w:rsidDel="00000000" w:rsidP="00000000" w:rsidRDefault="00000000" w:rsidRPr="00000000" w14:paraId="0000000F">
      <w:pPr>
        <w:widowControl w:val="1"/>
        <w:spacing w:line="276" w:lineRule="auto"/>
        <w:jc w:val="left"/>
        <w:rPr/>
      </w:pPr>
      <w:r w:rsidDel="00000000" w:rsidR="00000000" w:rsidRPr="00000000">
        <w:rPr>
          <w:rtl w:val="0"/>
        </w:rPr>
      </w:r>
    </w:p>
    <w:p w:rsidR="00000000" w:rsidDel="00000000" w:rsidP="00000000" w:rsidRDefault="00000000" w:rsidRPr="00000000" w14:paraId="00000010">
      <w:pPr>
        <w:widowControl w:val="1"/>
        <w:jc w:val="center"/>
        <w:rPr>
          <w:b w:val="1"/>
          <w:bCs w:val="1"/>
          <w:sz w:val="28"/>
          <w:szCs w:val="28"/>
        </w:rPr>
      </w:pPr>
      <w:r w:rsidDel="00000000" w:rsidR="00000000" w:rsidRPr="00000000">
        <w:rPr>
          <w:b w:val="1"/>
          <w:bCs w:val="1"/>
          <w:sz w:val="28"/>
          <w:szCs w:val="28"/>
          <w:rtl w:val="0"/>
        </w:rPr>
        <w:t>PM_23 / BM_23 — Product Marketing and Sales</w:t>
      </w:r>
    </w:p>
    <w:p w:rsidR="00000000" w:rsidDel="00000000" w:rsidP="00000000" w:rsidRDefault="00000000" w:rsidRPr="00000000" w14:paraId="00000011">
      <w:pPr>
        <w:jc w:val="center"/>
        <w:rPr/>
      </w:pPr>
      <w:r w:rsidDel="00000000" w:rsidR="00000000" w:rsidRPr="00000000">
        <w:rPr>
          <w:rtl w:val="0"/>
        </w:rPr>
        <w:t>Module Coordinator: Roland Fassauer</w:t>
      </w:r>
    </w:p>
    <w:p w:rsidR="00000000" w:rsidDel="00000000" w:rsidP="00000000" w:rsidRDefault="00000000" w:rsidRPr="00000000" w14:paraId="00000012">
      <w:pPr>
        <w:jc w:val="center"/>
        <w:rPr/>
      </w:pPr>
      <w:r w:rsidDel="00000000" w:rsidR="00000000" w:rsidRPr="00000000">
        <w:rPr>
          <w:rtl w:val="0"/>
        </w:rPr>
        <w:t>Learning Unit: Sales Report by Roland Fassauer</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Spring Semester 2026</w:t>
      </w:r>
    </w:p>
    <w:p w:rsidR="00000000" w:rsidDel="00000000" w:rsidP="00000000" w:rsidRDefault="00000000" w:rsidRPr="00000000" w14:paraId="00000015">
      <w:pPr>
        <w:jc w:val="center"/>
        <w:rPr/>
      </w:pPr>
      <w:r w:rsidDel="00000000" w:rsidR="00000000" w:rsidRPr="00000000">
        <w:rPr>
          <w:rtl w:val="0"/>
        </w:rPr>
        <w:t xml:space="preserve">CODE University of Applied Sciences Berlin</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~3,200 words</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fldChar w:fldCharType="begin"/>
        <w:instrText xml:space="preserve"> DOCPROPERTY "Student Name"</w:instrText>
        <w:fldChar w:fldCharType="separate"/>
      </w:r>
      <w:r w:rsidDel="00000000" w:rsidR="00000000" w:rsidRPr="00000000">
        <w:rPr>
          <w:rtl w:val="0"/>
        </w:rPr>
        <w:t>Jean-Luc Andre Navarro</w:t>
      </w:r>
      <w:r w:rsidDel="00000000" w:rsidR="00000000" w:rsidRPr="00000000">
        <w:fldChar w:fldCharType="end"/>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jean-luc.navarro@code.berlin</w:t>
      </w:r>
    </w:p>
    <w:p w:rsidR="00000000" w:rsidDel="00000000" w:rsidP="00000000" w:rsidRDefault="00000000" w:rsidRPr="00000000" w14:paraId="0000001B">
      <w:pPr>
        <w:jc w:val="center"/>
        <w:rPr/>
      </w:pPr>
      <w:r w:rsidDel="00000000" w:rsidR="00000000" w:rsidRPr="00000000">
        <w:t>Hand-in Date: 4 May 2026: 4 May 2026</w:t>
      </w:r>
      <w:r w:rsidDel="00000000" w:rsidR="00000000" w:rsidRPr="00000000">
        <w:rPr>
          <w:rtl w:val="0"/>
        </w:rPr>
      </w:r>
      <w:r w:rsidDel="00000000" w:rsidR="00000000" w:rsidRPr="00000000"/>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
        <w:br w:type="page"/>
      </w:r>
    </w:p>
    <w:p>
      <w:pPr>
        <w:pStyle w:val="Heading1"/>
      </w:pPr>
      <w:r>
        <w:t>1. Sales Report — Mango Lab / Still B2B Sales Enablement</w:t>
      </w:r>
    </w:p>
    <w:p>
      <w:r>
        <w:t>This document is a working sales playbook. It identifies who the Still product is sold to, what those buyers feel, what the proposition has to do for them, and the exact words an operator can copy into an email client and send today. It is structured so a new sales hire can be functional within a single afternoon: the user and buyer personas in sections 2 and 3 set the targeting; the pain map and value proposition in sections 4 and 5 set the message; the cold-outreach scripts in sections 6, 7, 8, and 9 are copy-paste ready; the funnel in section 10 sets the volume expectations; and the qualification criteria and KPI table in sections 11 and 12 set the bar for what counts as a closed-won deal.</w:t>
      </w:r>
    </w:p>
    <w:p>
      <w:pPr>
        <w:pStyle w:val="Heading1"/>
      </w:pPr>
      <w:r>
        <w:t>2. User persona — Lara, the SMB marketing lead</w:t>
      </w:r>
    </w:p>
    <w:p>
      <w:r>
        <w:t>The user is the person who would log into Still daily. In Mango Lab’s ICP this is the marketing manager or marketing lead inside a small or medium DACH business. In an agency context the user is the account manager. The persona below is composite, drawn from eighteen customer interviews conducted during PM_22 discovery (n = 18) and from the two paying customer engagements that pre-date this campaign (meetDWIGHT and a Berlin-based marketing agency).</w:t>
      </w:r>
    </w:p>
    <w:tbl>
      <w:tblPr>
        <w:tblW w:type="auto" w:w="0"/>
        <w:tblLook w:firstColumn="1" w:firstRow="1" w:lastColumn="0" w:lastRow="0" w:noHBand="0" w:noVBand="1" w:val="04A0"/>
      </w:tblPr>
      <w:tblGrid>
        <w:gridCol w:w="4703"/>
        <w:gridCol w:w="4703"/>
      </w:tblGrid>
      <w:tr>
        <w:tc>
          <w:tcPr>
            <w:tcW w:type="dxa" w:w="2268"/>
          </w:tcPr>
          <w:p>
            <w:r>
              <w:rPr>
                <w:b/>
                <w:sz w:val="20"/>
              </w:rPr>
              <w:t>Field</w:t>
            </w:r>
          </w:p>
        </w:tc>
        <w:tc>
          <w:tcPr>
            <w:tcW w:type="dxa" w:w="6803"/>
          </w:tcPr>
          <w:p>
            <w:r>
              <w:rPr>
                <w:b/>
                <w:sz w:val="20"/>
              </w:rPr>
              <w:t>Value</w:t>
            </w:r>
          </w:p>
        </w:tc>
      </w:tr>
      <w:tr>
        <w:tc>
          <w:tcPr>
            <w:tcW w:type="dxa" w:w="2268"/>
          </w:tcPr>
          <w:p>
            <w:r>
              <w:rPr>
                <w:sz w:val="20"/>
              </w:rPr>
              <w:t>Name</w:t>
            </w:r>
          </w:p>
        </w:tc>
        <w:tc>
          <w:tcPr>
            <w:tcW w:type="dxa" w:w="6803"/>
          </w:tcPr>
          <w:p>
            <w:r>
              <w:rPr>
                <w:sz w:val="20"/>
              </w:rPr>
              <w:t>Lara Schmidt (composite)</w:t>
            </w:r>
          </w:p>
        </w:tc>
      </w:tr>
      <w:tr>
        <w:tc>
          <w:tcPr>
            <w:tcW w:type="dxa" w:w="2268"/>
          </w:tcPr>
          <w:p>
            <w:r>
              <w:rPr>
                <w:sz w:val="20"/>
              </w:rPr>
              <w:t>Role</w:t>
            </w:r>
          </w:p>
        </w:tc>
        <w:tc>
          <w:tcPr>
            <w:tcW w:type="dxa" w:w="6803"/>
          </w:tcPr>
          <w:p>
            <w:r>
              <w:rPr>
                <w:sz w:val="20"/>
              </w:rPr>
              <w:t>Marketing Lead at a 25-person German SMB (B2B SaaS or services)</w:t>
            </w:r>
          </w:p>
        </w:tc>
      </w:tr>
      <w:tr>
        <w:tc>
          <w:tcPr>
            <w:tcW w:type="dxa" w:w="2268"/>
          </w:tcPr>
          <w:p>
            <w:r>
              <w:rPr>
                <w:sz w:val="20"/>
              </w:rPr>
              <w:t>Age</w:t>
            </w:r>
          </w:p>
        </w:tc>
        <w:tc>
          <w:tcPr>
            <w:tcW w:type="dxa" w:w="6803"/>
          </w:tcPr>
          <w:p>
            <w:r>
              <w:rPr>
                <w:sz w:val="20"/>
              </w:rPr>
              <w:t>29 — 36</w:t>
            </w:r>
          </w:p>
        </w:tc>
      </w:tr>
      <w:tr>
        <w:tc>
          <w:tcPr>
            <w:tcW w:type="dxa" w:w="2268"/>
          </w:tcPr>
          <w:p>
            <w:r>
              <w:rPr>
                <w:sz w:val="20"/>
              </w:rPr>
              <w:t>Location</w:t>
            </w:r>
          </w:p>
        </w:tc>
        <w:tc>
          <w:tcPr>
            <w:tcW w:type="dxa" w:w="6803"/>
          </w:tcPr>
          <w:p>
            <w:r>
              <w:rPr>
                <w:sz w:val="20"/>
              </w:rPr>
              <w:t>Berlin, Munich, Hamburg, Cologne (DACH-wide)</w:t>
            </w:r>
          </w:p>
        </w:tc>
      </w:tr>
      <w:tr>
        <w:tc>
          <w:tcPr>
            <w:tcW w:type="dxa" w:w="2268"/>
          </w:tcPr>
          <w:p>
            <w:r>
              <w:rPr>
                <w:sz w:val="20"/>
              </w:rPr>
              <w:t>Reports to</w:t>
            </w:r>
          </w:p>
        </w:tc>
        <w:tc>
          <w:tcPr>
            <w:tcW w:type="dxa" w:w="6803"/>
          </w:tcPr>
          <w:p>
            <w:r>
              <w:rPr>
                <w:sz w:val="20"/>
              </w:rPr>
              <w:t>Founder / CEO (no marketing director above her)</w:t>
            </w:r>
          </w:p>
        </w:tc>
      </w:tr>
      <w:tr>
        <w:tc>
          <w:tcPr>
            <w:tcW w:type="dxa" w:w="2268"/>
          </w:tcPr>
          <w:p>
            <w:r>
              <w:rPr>
                <w:sz w:val="20"/>
              </w:rPr>
              <w:t>Team size</w:t>
            </w:r>
          </w:p>
        </w:tc>
        <w:tc>
          <w:tcPr>
            <w:tcW w:type="dxa" w:w="6803"/>
          </w:tcPr>
          <w:p>
            <w:r>
              <w:rPr>
                <w:sz w:val="20"/>
              </w:rPr>
              <w:t>Solo, or +1 freelance designer, or +1 part-time content writer</w:t>
            </w:r>
          </w:p>
        </w:tc>
      </w:tr>
      <w:tr>
        <w:tc>
          <w:tcPr>
            <w:tcW w:type="dxa" w:w="2268"/>
          </w:tcPr>
          <w:p>
            <w:r>
              <w:rPr>
                <w:sz w:val="20"/>
              </w:rPr>
              <w:t>Tools used today</w:t>
            </w:r>
          </w:p>
        </w:tc>
        <w:tc>
          <w:tcPr>
            <w:tcW w:type="dxa" w:w="6803"/>
          </w:tcPr>
          <w:p>
            <w:r>
              <w:rPr>
                <w:sz w:val="20"/>
              </w:rPr>
              <w:t>Meta Ads Manager, Google Ads, Notion, Canva, ChatGPT, a CRM (HubSpot Free or Pipedrive)</w:t>
            </w:r>
          </w:p>
        </w:tc>
      </w:tr>
      <w:tr>
        <w:tc>
          <w:tcPr>
            <w:tcW w:type="dxa" w:w="2268"/>
          </w:tcPr>
          <w:p>
            <w:r>
              <w:rPr>
                <w:sz w:val="20"/>
              </w:rPr>
              <w:t>Budget she controls</w:t>
            </w:r>
          </w:p>
        </w:tc>
        <w:tc>
          <w:tcPr>
            <w:tcW w:type="dxa" w:w="6803"/>
          </w:tcPr>
          <w:p>
            <w:r>
              <w:rPr>
                <w:sz w:val="20"/>
              </w:rPr>
              <w:t>€500 — €5,000 / month in paid media plus her own time</w:t>
            </w:r>
          </w:p>
        </w:tc>
      </w:tr>
      <w:tr>
        <w:tc>
          <w:tcPr>
            <w:tcW w:type="dxa" w:w="2268"/>
          </w:tcPr>
          <w:p>
            <w:r>
              <w:rPr>
                <w:sz w:val="20"/>
              </w:rPr>
              <w:t>What she measures on</w:t>
            </w:r>
          </w:p>
        </w:tc>
        <w:tc>
          <w:tcPr>
            <w:tcW w:type="dxa" w:w="6803"/>
          </w:tcPr>
          <w:p>
            <w:r>
              <w:rPr>
                <w:sz w:val="20"/>
              </w:rPr>
              <w:t>Leads delivered, cost per lead, monthly campaign report to the founder</w:t>
            </w:r>
          </w:p>
        </w:tc>
      </w:tr>
      <w:tr>
        <w:tc>
          <w:tcPr>
            <w:tcW w:type="dxa" w:w="2268"/>
          </w:tcPr>
          <w:p>
            <w:r>
              <w:rPr>
                <w:sz w:val="20"/>
              </w:rPr>
              <w:t>What she fears</w:t>
            </w:r>
          </w:p>
        </w:tc>
        <w:tc>
          <w:tcPr>
            <w:tcW w:type="dxa" w:w="6803"/>
          </w:tcPr>
          <w:p>
            <w:r>
              <w:rPr>
                <w:sz w:val="20"/>
              </w:rPr>
              <w:t>Being asked at the Monday meeting why CPL went up</w:t>
            </w:r>
          </w:p>
        </w:tc>
      </w:tr>
      <w:tr>
        <w:tc>
          <w:tcPr>
            <w:tcW w:type="dxa" w:w="2268"/>
          </w:tcPr>
          <w:p>
            <w:r>
              <w:rPr>
                <w:sz w:val="20"/>
              </w:rPr>
              <w:t>Buying authority</w:t>
            </w:r>
          </w:p>
        </w:tc>
        <w:tc>
          <w:tcPr>
            <w:tcW w:type="dxa" w:w="6803"/>
          </w:tcPr>
          <w:p>
            <w:r>
              <w:rPr>
                <w:sz w:val="20"/>
              </w:rPr>
              <w:t>Recommends; the founder approves anything above ~€200/month</w:t>
            </w:r>
          </w:p>
        </w:tc>
      </w:tr>
    </w:tbl>
    <w:p>
      <w:r>
        <w:t>Two operational notes for outreach. First, Lara checks email between 09:00 and 10:00 CET and again after 16:00. Both windows convert at noticeably higher reply rates than midday. Second, Lara responds to peers and to outcome-led messages; she does not respond to vendor-pitch messages. The outreach scripts in sections 6 to 9 are written in this register.</w:t>
      </w:r>
    </w:p>
    <w:p>
      <w:pPr>
        <w:pStyle w:val="Heading1"/>
      </w:pPr>
      <w:r>
        <w:t>3. Buyer persona — Tomas, the founder / CMO who signs the cheque</w:t>
      </w:r>
    </w:p>
    <w:p>
      <w:r>
        <w:t>The buyer is the person whose signature releases budget. In SMBs of the size Still targets, this is the founder or, in a slightly larger company, the CMO or commercial director. The buyer is rarely the user. Outreach that reaches the user (Lara) but does not give her a way to escalate to the buyer (Tomas) stalls at the recommendation stage. Outreach that reaches the buyer first but bypasses the user entirely tends to be forwarded back down with the request to ‘have a quick look’, and dies in the user’s inbox.</w:t>
      </w:r>
    </w:p>
    <w:tbl>
      <w:tblPr>
        <w:tblW w:type="auto" w:w="0"/>
        <w:tblLook w:firstColumn="1" w:firstRow="1" w:lastColumn="0" w:lastRow="0" w:noHBand="0" w:noVBand="1" w:val="04A0"/>
      </w:tblPr>
      <w:tblGrid>
        <w:gridCol w:w="4703"/>
        <w:gridCol w:w="4703"/>
      </w:tblGrid>
      <w:tr>
        <w:tc>
          <w:tcPr>
            <w:tcW w:type="dxa" w:w="2268"/>
          </w:tcPr>
          <w:p>
            <w:r>
              <w:rPr>
                <w:b/>
                <w:sz w:val="20"/>
              </w:rPr>
              <w:t>Field</w:t>
            </w:r>
          </w:p>
        </w:tc>
        <w:tc>
          <w:tcPr>
            <w:tcW w:type="dxa" w:w="6803"/>
          </w:tcPr>
          <w:p>
            <w:r>
              <w:rPr>
                <w:b/>
                <w:sz w:val="20"/>
              </w:rPr>
              <w:t>Value</w:t>
            </w:r>
          </w:p>
        </w:tc>
      </w:tr>
      <w:tr>
        <w:tc>
          <w:tcPr>
            <w:tcW w:type="dxa" w:w="2268"/>
          </w:tcPr>
          <w:p>
            <w:r>
              <w:rPr>
                <w:sz w:val="20"/>
              </w:rPr>
              <w:t>Name</w:t>
            </w:r>
          </w:p>
        </w:tc>
        <w:tc>
          <w:tcPr>
            <w:tcW w:type="dxa" w:w="6803"/>
          </w:tcPr>
          <w:p>
            <w:r>
              <w:rPr>
                <w:sz w:val="20"/>
              </w:rPr>
              <w:t>Tomas Becker (composite)</w:t>
            </w:r>
          </w:p>
        </w:tc>
      </w:tr>
      <w:tr>
        <w:tc>
          <w:tcPr>
            <w:tcW w:type="dxa" w:w="2268"/>
          </w:tcPr>
          <w:p>
            <w:r>
              <w:rPr>
                <w:sz w:val="20"/>
              </w:rPr>
              <w:t>Role</w:t>
            </w:r>
          </w:p>
        </w:tc>
        <w:tc>
          <w:tcPr>
            <w:tcW w:type="dxa" w:w="6803"/>
          </w:tcPr>
          <w:p>
            <w:r>
              <w:rPr>
                <w:sz w:val="20"/>
              </w:rPr>
              <w:t>Founder &amp; CEO of a 12 — 60 person SMB; or CMO at the 60+ end</w:t>
            </w:r>
          </w:p>
        </w:tc>
      </w:tr>
      <w:tr>
        <w:tc>
          <w:tcPr>
            <w:tcW w:type="dxa" w:w="2268"/>
          </w:tcPr>
          <w:p>
            <w:r>
              <w:rPr>
                <w:sz w:val="20"/>
              </w:rPr>
              <w:t>Age</w:t>
            </w:r>
          </w:p>
        </w:tc>
        <w:tc>
          <w:tcPr>
            <w:tcW w:type="dxa" w:w="6803"/>
          </w:tcPr>
          <w:p>
            <w:r>
              <w:rPr>
                <w:sz w:val="20"/>
              </w:rPr>
              <w:t>34 — 48</w:t>
            </w:r>
          </w:p>
        </w:tc>
      </w:tr>
      <w:tr>
        <w:tc>
          <w:tcPr>
            <w:tcW w:type="dxa" w:w="2268"/>
          </w:tcPr>
          <w:p>
            <w:r>
              <w:rPr>
                <w:sz w:val="20"/>
              </w:rPr>
              <w:t>Located in</w:t>
            </w:r>
          </w:p>
        </w:tc>
        <w:tc>
          <w:tcPr>
            <w:tcW w:type="dxa" w:w="6803"/>
          </w:tcPr>
          <w:p>
            <w:r>
              <w:rPr>
                <w:sz w:val="20"/>
              </w:rPr>
              <w:t>DACH</w:t>
            </w:r>
          </w:p>
        </w:tc>
      </w:tr>
      <w:tr>
        <w:tc>
          <w:tcPr>
            <w:tcW w:type="dxa" w:w="2268"/>
          </w:tcPr>
          <w:p>
            <w:r>
              <w:rPr>
                <w:sz w:val="20"/>
              </w:rPr>
              <w:t>Buying behaviour</w:t>
            </w:r>
          </w:p>
        </w:tc>
        <w:tc>
          <w:tcPr>
            <w:tcW w:type="dxa" w:w="6803"/>
          </w:tcPr>
          <w:p>
            <w:r>
              <w:rPr>
                <w:sz w:val="20"/>
              </w:rPr>
              <w:t>Approves recurring software up to €500/month without board input</w:t>
            </w:r>
          </w:p>
        </w:tc>
      </w:tr>
      <w:tr>
        <w:tc>
          <w:tcPr>
            <w:tcW w:type="dxa" w:w="2268"/>
          </w:tcPr>
          <w:p>
            <w:r>
              <w:rPr>
                <w:sz w:val="20"/>
              </w:rPr>
              <w:t>Time available</w:t>
            </w:r>
          </w:p>
        </w:tc>
        <w:tc>
          <w:tcPr>
            <w:tcW w:type="dxa" w:w="6803"/>
          </w:tcPr>
          <w:p>
            <w:r>
              <w:rPr>
                <w:sz w:val="20"/>
              </w:rPr>
              <w:t>Reads roughly 12% of cold emails; replies to roughly 1.5%</w:t>
            </w:r>
          </w:p>
        </w:tc>
      </w:tr>
      <w:tr>
        <w:tc>
          <w:tcPr>
            <w:tcW w:type="dxa" w:w="2268"/>
          </w:tcPr>
          <w:p>
            <w:r>
              <w:rPr>
                <w:sz w:val="20"/>
              </w:rPr>
              <w:t>What he wants</w:t>
            </w:r>
          </w:p>
        </w:tc>
        <w:tc>
          <w:tcPr>
            <w:tcW w:type="dxa" w:w="6803"/>
          </w:tcPr>
          <w:p>
            <w:r>
              <w:rPr>
                <w:sz w:val="20"/>
              </w:rPr>
              <w:t>Marketing that produces a number he can show the board, without his time</w:t>
            </w:r>
          </w:p>
        </w:tc>
      </w:tr>
      <w:tr>
        <w:tc>
          <w:tcPr>
            <w:tcW w:type="dxa" w:w="2268"/>
          </w:tcPr>
          <w:p>
            <w:r>
              <w:rPr>
                <w:sz w:val="20"/>
              </w:rPr>
              <w:t>What he distrusts</w:t>
            </w:r>
          </w:p>
        </w:tc>
        <w:tc>
          <w:tcPr>
            <w:tcW w:type="dxa" w:w="6803"/>
          </w:tcPr>
          <w:p>
            <w:r>
              <w:rPr>
                <w:sz w:val="20"/>
              </w:rPr>
              <w:t>Agency invoices; vendor lock-in; tools that need a 4-week onboarding</w:t>
            </w:r>
          </w:p>
        </w:tc>
      </w:tr>
      <w:tr>
        <w:tc>
          <w:tcPr>
            <w:tcW w:type="dxa" w:w="2268"/>
          </w:tcPr>
          <w:p>
            <w:r>
              <w:rPr>
                <w:sz w:val="20"/>
              </w:rPr>
              <w:t>What unsticks him</w:t>
            </w:r>
          </w:p>
        </w:tc>
        <w:tc>
          <w:tcPr>
            <w:tcW w:type="dxa" w:w="6803"/>
          </w:tcPr>
          <w:p>
            <w:r>
              <w:rPr>
                <w:sz w:val="20"/>
              </w:rPr>
              <w:t>A peer reference, a free trial that produces a result, a one-page ROI memo</w:t>
            </w:r>
          </w:p>
        </w:tc>
      </w:tr>
      <w:tr>
        <w:tc>
          <w:tcPr>
            <w:tcW w:type="dxa" w:w="2268"/>
          </w:tcPr>
          <w:p>
            <w:r>
              <w:rPr>
                <w:sz w:val="20"/>
              </w:rPr>
              <w:t>Decision speed</w:t>
            </w:r>
          </w:p>
        </w:tc>
        <w:tc>
          <w:tcPr>
            <w:tcW w:type="dxa" w:w="6803"/>
          </w:tcPr>
          <w:p>
            <w:r>
              <w:rPr>
                <w:sz w:val="20"/>
              </w:rPr>
              <w:t>Fast (under two weeks) when the proposition is concrete; otherwise indefinite</w:t>
            </w:r>
          </w:p>
        </w:tc>
      </w:tr>
    </w:tbl>
    <w:p>
      <w:r>
        <w:t>The implication for outreach: every email below is structured to be forwardable. The opening line tells the user (Lara) what is in it for her; the closing line tells the buyer (Tomas) what is in it for the business. A user who chooses to forward the email keeps both lines intact, which means the buyer sees the ROI framing without the user having to translate it.</w:t>
      </w:r>
    </w:p>
    <w:p>
      <w:pPr>
        <w:pStyle w:val="Heading1"/>
      </w:pPr>
      <w:r>
        <w:t>4. Pain points and jobs-to-be-done</w:t>
      </w:r>
    </w:p>
    <w:p>
      <w:r>
        <w:t>The pain map below is derived from the PM_22 interview corpus, the conversations with the two existing paying customers, and the qualitative coding of 45 lead-form responses received during ENGINE_001. The framing follows Christensen, Hall, Dillon and Duncan (2016): every pain is paired with the job the buyer is trying to get done.</w:t>
      </w:r>
    </w:p>
    <w:tbl>
      <w:tblPr>
        <w:tblW w:type="auto" w:w="0"/>
        <w:tblLook w:firstColumn="1" w:firstRow="1" w:lastColumn="0" w:lastRow="0" w:noHBand="0" w:noVBand="1" w:val="04A0"/>
      </w:tblPr>
      <w:tblGrid>
        <w:gridCol w:w="3135"/>
        <w:gridCol w:w="3135"/>
        <w:gridCol w:w="3135"/>
      </w:tblGrid>
      <w:tr>
        <w:tc>
          <w:tcPr>
            <w:tcW w:type="dxa" w:w="3118"/>
          </w:tcPr>
          <w:p>
            <w:r>
              <w:rPr>
                <w:b/>
                <w:sz w:val="20"/>
              </w:rPr>
              <w:t>Pain</w:t>
            </w:r>
          </w:p>
        </w:tc>
        <w:tc>
          <w:tcPr>
            <w:tcW w:type="dxa" w:w="2835"/>
          </w:tcPr>
          <w:p>
            <w:r>
              <w:rPr>
                <w:b/>
                <w:sz w:val="20"/>
              </w:rPr>
              <w:t>Job-to-be-done</w:t>
            </w:r>
          </w:p>
        </w:tc>
        <w:tc>
          <w:tcPr>
            <w:tcW w:type="dxa" w:w="3118"/>
          </w:tcPr>
          <w:p>
            <w:r>
              <w:rPr>
                <w:b/>
                <w:sz w:val="20"/>
              </w:rPr>
              <w:t>What Still delivers</w:t>
            </w:r>
          </w:p>
        </w:tc>
      </w:tr>
      <w:tr>
        <w:tc>
          <w:tcPr>
            <w:tcW w:type="dxa" w:w="3118"/>
          </w:tcPr>
          <w:p>
            <w:r>
              <w:rPr>
                <w:sz w:val="20"/>
              </w:rPr>
              <w:t>I spend money on ads but I cannot tell the founder what worked</w:t>
            </w:r>
          </w:p>
        </w:tc>
        <w:tc>
          <w:tcPr>
            <w:tcW w:type="dxa" w:w="2835"/>
          </w:tcPr>
          <w:p>
            <w:r>
              <w:rPr>
                <w:sz w:val="20"/>
              </w:rPr>
              <w:t>Show monthly attribution that the founder will believe</w:t>
            </w:r>
          </w:p>
        </w:tc>
        <w:tc>
          <w:tcPr>
            <w:tcW w:type="dxa" w:w="3118"/>
          </w:tcPr>
          <w:p>
            <w:r>
              <w:rPr>
                <w:sz w:val="20"/>
              </w:rPr>
              <w:t>Weekly attribution snapshot that maps spend → leads → calls → revenue</w:t>
            </w:r>
          </w:p>
        </w:tc>
      </w:tr>
      <w:tr>
        <w:tc>
          <w:tcPr>
            <w:tcW w:type="dxa" w:w="3118"/>
          </w:tcPr>
          <w:p>
            <w:r>
              <w:rPr>
                <w:sz w:val="20"/>
              </w:rPr>
              <w:t>I am the only marketing person and I cannot scale my output</w:t>
            </w:r>
          </w:p>
        </w:tc>
        <w:tc>
          <w:tcPr>
            <w:tcW w:type="dxa" w:w="2835"/>
          </w:tcPr>
          <w:p>
            <w:r>
              <w:rPr>
                <w:sz w:val="20"/>
              </w:rPr>
              <w:t>Get to two-times current campaign output without a hire</w:t>
            </w:r>
          </w:p>
        </w:tc>
        <w:tc>
          <w:tcPr>
            <w:tcW w:type="dxa" w:w="3118"/>
          </w:tcPr>
          <w:p>
            <w:r>
              <w:rPr>
                <w:sz w:val="20"/>
              </w:rPr>
              <w:t>Auto-generated creative variants and one-click campaign duplication</w:t>
            </w:r>
          </w:p>
        </w:tc>
      </w:tr>
      <w:tr>
        <w:tc>
          <w:tcPr>
            <w:tcW w:type="dxa" w:w="3118"/>
          </w:tcPr>
          <w:p>
            <w:r>
              <w:rPr>
                <w:sz w:val="20"/>
              </w:rPr>
              <w:t>My agency invoices are higher than my media spend</w:t>
            </w:r>
          </w:p>
        </w:tc>
        <w:tc>
          <w:tcPr>
            <w:tcW w:type="dxa" w:w="2835"/>
          </w:tcPr>
          <w:p>
            <w:r>
              <w:rPr>
                <w:sz w:val="20"/>
              </w:rPr>
              <w:t>Cut agency dependency to half its current cost</w:t>
            </w:r>
          </w:p>
        </w:tc>
        <w:tc>
          <w:tcPr>
            <w:tcW w:type="dxa" w:w="3118"/>
          </w:tcPr>
          <w:p>
            <w:r>
              <w:rPr>
                <w:sz w:val="20"/>
              </w:rPr>
              <w:t>Replace the production half of the agency relationship with Still</w:t>
            </w:r>
          </w:p>
        </w:tc>
      </w:tr>
      <w:tr>
        <w:tc>
          <w:tcPr>
            <w:tcW w:type="dxa" w:w="3118"/>
          </w:tcPr>
          <w:p>
            <w:r>
              <w:rPr>
                <w:sz w:val="20"/>
              </w:rPr>
              <w:t>My ad creatives all look the same and they stop converting after week two</w:t>
            </w:r>
          </w:p>
        </w:tc>
        <w:tc>
          <w:tcPr>
            <w:tcW w:type="dxa" w:w="2835"/>
          </w:tcPr>
          <w:p>
            <w:r>
              <w:rPr>
                <w:sz w:val="20"/>
              </w:rPr>
              <w:t>Refresh creative weekly without a designer in the loop</w:t>
            </w:r>
          </w:p>
        </w:tc>
        <w:tc>
          <w:tcPr>
            <w:tcW w:type="dxa" w:w="3118"/>
          </w:tcPr>
          <w:p>
            <w:r>
              <w:rPr>
                <w:sz w:val="20"/>
              </w:rPr>
              <w:t>Brand-locked creative engine that produces eight variants per brief</w:t>
            </w:r>
          </w:p>
        </w:tc>
      </w:tr>
      <w:tr>
        <w:tc>
          <w:tcPr>
            <w:tcW w:type="dxa" w:w="3118"/>
          </w:tcPr>
          <w:p>
            <w:r>
              <w:rPr>
                <w:sz w:val="20"/>
              </w:rPr>
              <w:t>I run paid and organic in two different tools and they never reconcile</w:t>
            </w:r>
          </w:p>
        </w:tc>
        <w:tc>
          <w:tcPr>
            <w:tcW w:type="dxa" w:w="2835"/>
          </w:tcPr>
          <w:p>
            <w:r>
              <w:rPr>
                <w:sz w:val="20"/>
              </w:rPr>
              <w:t>See paid and organic performance in one weekly view</w:t>
            </w:r>
          </w:p>
        </w:tc>
        <w:tc>
          <w:tcPr>
            <w:tcW w:type="dxa" w:w="3118"/>
          </w:tcPr>
          <w:p>
            <w:r>
              <w:rPr>
                <w:sz w:val="20"/>
              </w:rPr>
              <w:t>Single dashboard with paid and organic side by side</w:t>
            </w:r>
          </w:p>
        </w:tc>
      </w:tr>
      <w:tr>
        <w:tc>
          <w:tcPr>
            <w:tcW w:type="dxa" w:w="3118"/>
          </w:tcPr>
          <w:p>
            <w:r>
              <w:rPr>
                <w:sz w:val="20"/>
              </w:rPr>
              <w:t>I lose hours every week on Monday-morning campaign reporting</w:t>
            </w:r>
          </w:p>
        </w:tc>
        <w:tc>
          <w:tcPr>
            <w:tcW w:type="dxa" w:w="2835"/>
          </w:tcPr>
          <w:p>
            <w:r>
              <w:rPr>
                <w:sz w:val="20"/>
              </w:rPr>
              <w:t>Get the Monday report written for me</w:t>
            </w:r>
          </w:p>
        </w:tc>
        <w:tc>
          <w:tcPr>
            <w:tcW w:type="dxa" w:w="3118"/>
          </w:tcPr>
          <w:p>
            <w:r>
              <w:rPr>
                <w:sz w:val="20"/>
              </w:rPr>
              <w:t>Auto-generated Monday memo, exportable as PDF or Notion page</w:t>
            </w:r>
          </w:p>
        </w:tc>
      </w:tr>
    </w:tbl>
    <w:p>
      <w:r>
        <w:t>The pain that recurs most strongly across the interview corpus is the first one: the gap between marketing spend and attribution. This pain is corroborated by the 2024 Salesforce Small and Medium Business Trends Report, which identifies that 56 percent of SMB owners report being unable to attribute revenue to marketing spend reliably (Salesforce, 2024). Lead with this pain in cold outreach. The remaining five pains are fallback hooks for follow-up sequences.</w:t>
      </w:r>
    </w:p>
    <w:p>
      <w:pPr>
        <w:pStyle w:val="Heading1"/>
      </w:pPr>
      <w:r>
        <w:t>5. Value-based product proposition</w:t>
      </w:r>
    </w:p>
    <w:p>
      <w:r>
        <w:t>The proposition below is written in outcome language rather than feature language. Each statement names a result the buyer can show the board within a defined time window.</w:t>
      </w:r>
    </w:p>
    <w:p>
      <w:pPr>
        <w:pStyle w:val="Heading3"/>
      </w:pPr>
      <w:r>
        <w:t>5.1 The one-line value statement</w:t>
      </w:r>
    </w:p>
    <w:p>
      <w:pPr>
        <w:spacing w:before="80" w:after="80"/>
        <w:ind w:left="454" w:right="454"/>
      </w:pPr>
      <w:r>
        <w:rPr>
          <w:rFonts w:ascii="Courier New" w:hAnsi="Courier New"/>
          <w:sz w:val="20"/>
        </w:rPr>
        <w:t>Still is the single dashboard where DACH SMBs run their paid and organic marketing — and get a Monday</w:t>
        <w:br/>
        <w:t>report that the founder will actually read.</w:t>
      </w:r>
    </w:p>
    <w:p>
      <w:pPr>
        <w:pStyle w:val="Heading3"/>
      </w:pPr>
      <w:r>
        <w:t>5.2 The three-line proposition (use in the email body)</w:t>
      </w:r>
    </w:p>
    <w:p>
      <w:pPr>
        <w:ind w:left="340" w:hanging="227"/>
      </w:pPr>
      <w:r>
        <w:t>• In month 1: cut your cost per lead by 30 percent or more, on the same spend, by reallocating across creatives the dashboard ranks for you.</w:t>
      </w:r>
    </w:p>
    <w:p>
      <w:pPr>
        <w:ind w:left="340" w:hanging="227"/>
      </w:pPr>
      <w:r>
        <w:t>• In month 2: cut your weekly campaign-management time by half. The Monday report writes itself.</w:t>
      </w:r>
    </w:p>
    <w:p>
      <w:pPr>
        <w:ind w:left="340" w:hanging="227"/>
      </w:pPr>
      <w:r>
        <w:t>• In month 3: cut your agency cost by 50 percent or more. Still produces the creative your agency is currently being paid to produce.</w:t>
      </w:r>
    </w:p>
    <w:p>
      <w:pPr>
        <w:pStyle w:val="Heading3"/>
      </w:pPr>
      <w:r>
        <w:t>5.3 The proof points (use in follow-ups and calls)</w:t>
      </w:r>
    </w:p>
    <w:p>
      <w:pPr>
        <w:ind w:left="340" w:hanging="227"/>
      </w:pPr>
      <w:r>
        <w:t>• ENGINE_001, the live Mango Lab acquisition sprint (28 April — 3 May 2026, in flight): €250.80 spent, 45 qualified leads, blended cost per lead €5.57, against the WordStream B2B Facebook benchmark of €29 (LocaliQ, 2024). The campaign is approximately 5.2 times more cost-efficient than the published benchmark.</w:t>
      </w:r>
    </w:p>
    <w:p>
      <w:pPr>
        <w:ind w:left="340" w:hanging="227"/>
      </w:pPr>
      <w:r>
        <w:t>• Two paying customers acquired in the preceding quarter through warm channels: meetDWIGHT (SMB tools) and a Berlin marketing agency. Both have renewed.</w:t>
      </w:r>
    </w:p>
    <w:p>
      <w:pPr>
        <w:ind w:left="340" w:hanging="227"/>
      </w:pPr>
      <w:r>
        <w:t>• Nine-video organic sprint on a brand-new Instagram account: 27,218 total views in three weeks, mean of 3,024 per post, against a published cold-account median of 200 — 600 (Zote, 2024).</w:t>
      </w:r>
    </w:p>
    <w:p>
      <w:pPr>
        <w:pStyle w:val="Heading3"/>
      </w:pPr>
      <w:r>
        <w:t>5.4 The objection bank (use only when the buyer raises the objection first)</w:t>
      </w:r>
    </w:p>
    <w:tbl>
      <w:tblPr>
        <w:tblW w:type="auto" w:w="0"/>
        <w:tblLook w:firstColumn="1" w:firstRow="1" w:lastColumn="0" w:lastRow="0" w:noHBand="0" w:noVBand="1" w:val="04A0"/>
      </w:tblPr>
      <w:tblGrid>
        <w:gridCol w:w="4703"/>
        <w:gridCol w:w="4703"/>
      </w:tblGrid>
      <w:tr>
        <w:tc>
          <w:tcPr>
            <w:tcW w:type="dxa" w:w="2835"/>
          </w:tcPr>
          <w:p>
            <w:r>
              <w:rPr>
                <w:b/>
                <w:sz w:val="20"/>
              </w:rPr>
              <w:t>Objection</w:t>
            </w:r>
          </w:p>
        </w:tc>
        <w:tc>
          <w:tcPr>
            <w:tcW w:type="dxa" w:w="6236"/>
          </w:tcPr>
          <w:p>
            <w:r>
              <w:rPr>
                <w:b/>
                <w:sz w:val="20"/>
              </w:rPr>
              <w:t>One-line response</w:t>
            </w:r>
          </w:p>
        </w:tc>
      </w:tr>
      <w:tr>
        <w:tc>
          <w:tcPr>
            <w:tcW w:type="dxa" w:w="2835"/>
          </w:tcPr>
          <w:p>
            <w:r>
              <w:rPr>
                <w:sz w:val="20"/>
              </w:rPr>
              <w:t>Too expensive</w:t>
            </w:r>
          </w:p>
        </w:tc>
        <w:tc>
          <w:tcPr>
            <w:tcW w:type="dxa" w:w="6236"/>
          </w:tcPr>
          <w:p>
            <w:r>
              <w:rPr>
                <w:sz w:val="20"/>
              </w:rPr>
              <w:t>We are 50 percent cheaper than the agency you would otherwise hire and we replace the production half of that scope. The media spend is yours, not ours.</w:t>
            </w:r>
          </w:p>
        </w:tc>
      </w:tr>
      <w:tr>
        <w:tc>
          <w:tcPr>
            <w:tcW w:type="dxa" w:w="2835"/>
          </w:tcPr>
          <w:p>
            <w:r>
              <w:rPr>
                <w:sz w:val="20"/>
              </w:rPr>
              <w:t>I already use HubSpot / Mailchimp / X</w:t>
            </w:r>
          </w:p>
        </w:tc>
        <w:tc>
          <w:tcPr>
            <w:tcW w:type="dxa" w:w="6236"/>
          </w:tcPr>
          <w:p>
            <w:r>
              <w:rPr>
                <w:sz w:val="20"/>
              </w:rPr>
              <w:t>Still sits next to your CRM; it does not replace it. It replaces the agency, not the CRM.</w:t>
            </w:r>
          </w:p>
        </w:tc>
      </w:tr>
      <w:tr>
        <w:tc>
          <w:tcPr>
            <w:tcW w:type="dxa" w:w="2835"/>
          </w:tcPr>
          <w:p>
            <w:r>
              <w:rPr>
                <w:sz w:val="20"/>
              </w:rPr>
              <w:t>I want to wait</w:t>
            </w:r>
          </w:p>
        </w:tc>
        <w:tc>
          <w:tcPr>
            <w:tcW w:type="dxa" w:w="6236"/>
          </w:tcPr>
          <w:p>
            <w:r>
              <w:rPr>
                <w:sz w:val="20"/>
              </w:rPr>
              <w:t>Wait until what? In six months your CPL will be higher and your creative will look more like your competitors’. Both are recoverable, neither for free.</w:t>
            </w:r>
          </w:p>
        </w:tc>
      </w:tr>
      <w:tr>
        <w:tc>
          <w:tcPr>
            <w:tcW w:type="dxa" w:w="2835"/>
          </w:tcPr>
          <w:p>
            <w:r>
              <w:rPr>
                <w:sz w:val="20"/>
              </w:rPr>
              <w:t>Send me more info</w:t>
            </w:r>
          </w:p>
        </w:tc>
        <w:tc>
          <w:tcPr>
            <w:tcW w:type="dxa" w:w="6236"/>
          </w:tcPr>
          <w:p>
            <w:r>
              <w:rPr>
                <w:sz w:val="20"/>
              </w:rPr>
              <w:t>I can send a 20-second loom of your account inside Still. That is more useful than a deck. Reply yes and I will send it tomorrow.</w:t>
            </w:r>
          </w:p>
        </w:tc>
      </w:tr>
      <w:tr>
        <w:tc>
          <w:tcPr>
            <w:tcW w:type="dxa" w:w="2835"/>
          </w:tcPr>
          <w:p>
            <w:r>
              <w:rPr>
                <w:sz w:val="20"/>
              </w:rPr>
              <w:t>Not the right time</w:t>
            </w:r>
          </w:p>
        </w:tc>
        <w:tc>
          <w:tcPr>
            <w:tcW w:type="dxa" w:w="6236"/>
          </w:tcPr>
          <w:p>
            <w:r>
              <w:rPr>
                <w:sz w:val="20"/>
              </w:rPr>
              <w:t>Understood. Can I check back in 30 days? In the meantime here is the one-page Monday-memo template we use internally — yours to keep, no email gate.</w:t>
            </w:r>
          </w:p>
        </w:tc>
      </w:tr>
    </w:tbl>
    <w:p>
      <w:pPr>
        <w:pStyle w:val="Heading1"/>
      </w:pPr>
      <w:r>
        <w:t>6. Cold outreach — subject line variants</w:t>
      </w:r>
    </w:p>
    <w:p>
      <w:r>
        <w:t>Five subject-line variants follow, each engineered against a different emotional register. The variants are deliberately short (under 50 characters) so that they render in full on a mobile inbox preview pane. Test them in groups of two against the same body, alternate weekly, and retire any variant that drops below a 12 percent open rate over a rolling 100 sends.</w:t>
      </w:r>
    </w:p>
    <w:tbl>
      <w:tblPr>
        <w:tblW w:type="auto" w:w="0"/>
        <w:tblLook w:firstColumn="1" w:firstRow="1" w:lastColumn="0" w:lastRow="0" w:noHBand="0" w:noVBand="1" w:val="04A0"/>
      </w:tblPr>
      <w:tblGrid>
        <w:gridCol w:w="2351"/>
        <w:gridCol w:w="2351"/>
        <w:gridCol w:w="2351"/>
        <w:gridCol w:w="2351"/>
      </w:tblGrid>
      <w:tr>
        <w:tc>
          <w:tcPr>
            <w:tcW w:type="dxa" w:w="567"/>
          </w:tcPr>
          <w:p>
            <w:r>
              <w:rPr>
                <w:b/>
                <w:sz w:val="20"/>
              </w:rPr>
              <w:t>#</w:t>
            </w:r>
          </w:p>
        </w:tc>
        <w:tc>
          <w:tcPr>
            <w:tcW w:type="dxa" w:w="3118"/>
          </w:tcPr>
          <w:p>
            <w:r>
              <w:rPr>
                <w:b/>
                <w:sz w:val="20"/>
              </w:rPr>
              <w:t>Subject line</w:t>
            </w:r>
          </w:p>
        </w:tc>
        <w:tc>
          <w:tcPr>
            <w:tcW w:type="dxa" w:w="2268"/>
          </w:tcPr>
          <w:p>
            <w:r>
              <w:rPr>
                <w:b/>
                <w:sz w:val="20"/>
              </w:rPr>
              <w:t>Register</w:t>
            </w:r>
          </w:p>
        </w:tc>
        <w:tc>
          <w:tcPr>
            <w:tcW w:type="dxa" w:w="3118"/>
          </w:tcPr>
          <w:p>
            <w:r>
              <w:rPr>
                <w:b/>
                <w:sz w:val="20"/>
              </w:rPr>
              <w:t>Best used when</w:t>
            </w:r>
          </w:p>
        </w:tc>
      </w:tr>
      <w:tr>
        <w:tc>
          <w:tcPr>
            <w:tcW w:type="dxa" w:w="567"/>
          </w:tcPr>
          <w:p>
            <w:r>
              <w:rPr>
                <w:sz w:val="20"/>
              </w:rPr>
              <w:t>1</w:t>
            </w:r>
          </w:p>
        </w:tc>
        <w:tc>
          <w:tcPr>
            <w:tcW w:type="dxa" w:w="3118"/>
          </w:tcPr>
          <w:p>
            <w:r>
              <w:rPr>
                <w:sz w:val="20"/>
              </w:rPr>
              <w:t>Quick question about your Q2 ad spend</w:t>
            </w:r>
          </w:p>
        </w:tc>
        <w:tc>
          <w:tcPr>
            <w:tcW w:type="dxa" w:w="2268"/>
          </w:tcPr>
          <w:p>
            <w:r>
              <w:rPr>
                <w:sz w:val="20"/>
              </w:rPr>
              <w:t>Polite / peer</w:t>
            </w:r>
          </w:p>
        </w:tc>
        <w:tc>
          <w:tcPr>
            <w:tcW w:type="dxa" w:w="3118"/>
          </w:tcPr>
          <w:p>
            <w:r>
              <w:rPr>
                <w:sz w:val="20"/>
              </w:rPr>
              <w:t>First touch, generic ICP</w:t>
            </w:r>
          </w:p>
        </w:tc>
      </w:tr>
      <w:tr>
        <w:tc>
          <w:tcPr>
            <w:tcW w:type="dxa" w:w="567"/>
          </w:tcPr>
          <w:p>
            <w:r>
              <w:rPr>
                <w:sz w:val="20"/>
              </w:rPr>
              <w:t>2</w:t>
            </w:r>
          </w:p>
        </w:tc>
        <w:tc>
          <w:tcPr>
            <w:tcW w:type="dxa" w:w="3118"/>
          </w:tcPr>
          <w:p>
            <w:r>
              <w:rPr>
                <w:sz w:val="20"/>
              </w:rPr>
              <w:t>{Company}: cost per lead at €5.57 instead of €29</w:t>
            </w:r>
          </w:p>
        </w:tc>
        <w:tc>
          <w:tcPr>
            <w:tcW w:type="dxa" w:w="2268"/>
          </w:tcPr>
          <w:p>
            <w:r>
              <w:rPr>
                <w:sz w:val="20"/>
              </w:rPr>
              <w:t>Specific / numerical</w:t>
            </w:r>
          </w:p>
        </w:tc>
        <w:tc>
          <w:tcPr>
            <w:tcW w:type="dxa" w:w="3118"/>
          </w:tcPr>
          <w:p>
            <w:r>
              <w:rPr>
                <w:sz w:val="20"/>
              </w:rPr>
              <w:t>First touch, you have a real benchmark for the recipient</w:t>
            </w:r>
          </w:p>
        </w:tc>
      </w:tr>
      <w:tr>
        <w:tc>
          <w:tcPr>
            <w:tcW w:type="dxa" w:w="567"/>
          </w:tcPr>
          <w:p>
            <w:r>
              <w:rPr>
                <w:sz w:val="20"/>
              </w:rPr>
              <w:t>3</w:t>
            </w:r>
          </w:p>
        </w:tc>
        <w:tc>
          <w:tcPr>
            <w:tcW w:type="dxa" w:w="3118"/>
          </w:tcPr>
          <w:p>
            <w:r>
              <w:rPr>
                <w:sz w:val="20"/>
              </w:rPr>
              <w:t>Stop paying your agency to do this</w:t>
            </w:r>
          </w:p>
        </w:tc>
        <w:tc>
          <w:tcPr>
            <w:tcW w:type="dxa" w:w="2268"/>
          </w:tcPr>
          <w:p>
            <w:r>
              <w:rPr>
                <w:sz w:val="20"/>
              </w:rPr>
              <w:t>Provocative / direct</w:t>
            </w:r>
          </w:p>
        </w:tc>
        <w:tc>
          <w:tcPr>
            <w:tcW w:type="dxa" w:w="3118"/>
          </w:tcPr>
          <w:p>
            <w:r>
              <w:rPr>
                <w:sz w:val="20"/>
              </w:rPr>
              <w:t>Recipient has named an agency on LinkedIn</w:t>
            </w:r>
          </w:p>
        </w:tc>
      </w:tr>
      <w:tr>
        <w:tc>
          <w:tcPr>
            <w:tcW w:type="dxa" w:w="567"/>
          </w:tcPr>
          <w:p>
            <w:r>
              <w:rPr>
                <w:sz w:val="20"/>
              </w:rPr>
              <w:t>4</w:t>
            </w:r>
          </w:p>
        </w:tc>
        <w:tc>
          <w:tcPr>
            <w:tcW w:type="dxa" w:w="3118"/>
          </w:tcPr>
          <w:p>
            <w:r>
              <w:rPr>
                <w:sz w:val="20"/>
              </w:rPr>
              <w:t>{First name}, your Monday memo writes itself</w:t>
            </w:r>
          </w:p>
        </w:tc>
        <w:tc>
          <w:tcPr>
            <w:tcW w:type="dxa" w:w="2268"/>
          </w:tcPr>
          <w:p>
            <w:r>
              <w:rPr>
                <w:sz w:val="20"/>
              </w:rPr>
              <w:t>Job-to-be-done</w:t>
            </w:r>
          </w:p>
        </w:tc>
        <w:tc>
          <w:tcPr>
            <w:tcW w:type="dxa" w:w="3118"/>
          </w:tcPr>
          <w:p>
            <w:r>
              <w:rPr>
                <w:sz w:val="20"/>
              </w:rPr>
              <w:t>First touch, marketing-lead persona</w:t>
            </w:r>
          </w:p>
        </w:tc>
      </w:tr>
      <w:tr>
        <w:tc>
          <w:tcPr>
            <w:tcW w:type="dxa" w:w="567"/>
          </w:tcPr>
          <w:p>
            <w:r>
              <w:rPr>
                <w:sz w:val="20"/>
              </w:rPr>
              <w:t>5</w:t>
            </w:r>
          </w:p>
        </w:tc>
        <w:tc>
          <w:tcPr>
            <w:tcW w:type="dxa" w:w="3118"/>
          </w:tcPr>
          <w:p>
            <w:r>
              <w:rPr>
                <w:sz w:val="20"/>
              </w:rPr>
              <w:t>Re: your post about marketing attribution</w:t>
            </w:r>
          </w:p>
        </w:tc>
        <w:tc>
          <w:tcPr>
            <w:tcW w:type="dxa" w:w="2268"/>
          </w:tcPr>
          <w:p>
            <w:r>
              <w:rPr>
                <w:sz w:val="20"/>
              </w:rPr>
              <w:t>Reply-style / contextual</w:t>
            </w:r>
          </w:p>
        </w:tc>
        <w:tc>
          <w:tcPr>
            <w:tcW w:type="dxa" w:w="3118"/>
          </w:tcPr>
          <w:p>
            <w:r>
              <w:rPr>
                <w:sz w:val="20"/>
              </w:rPr>
              <w:t>Recipient has posted publicly about the pain</w:t>
            </w:r>
          </w:p>
        </w:tc>
      </w:tr>
    </w:tbl>
    <w:p>
      <w:r>
        <w:t>Avoid: subject lines containing the word ‘free’ (spam-classifier risk), exclamation marks, or all-caps words.</w:t>
      </w:r>
    </w:p>
    <w:p>
      <w:pPr>
        <w:pStyle w:val="Heading1"/>
      </w:pPr>
      <w:r>
        <w:t>7. Cold outreach — email body template</w:t>
      </w:r>
    </w:p>
    <w:p>
      <w:r>
        <w:t>The body template below pairs with subject line 2. Personalisation tokens are wrapped in braces. Every email should personalise at least the {first name}, {company}, and one of {public_observation} or {shared_context}. A message that personalises only the name reads as a mail-merge and converts at less than half the rate of a properly personalised one (HubSpot, 2024).</w:t>
      </w:r>
    </w:p>
    <w:p>
      <w:pPr>
        <w:spacing w:before="80" w:after="80"/>
        <w:ind w:left="454" w:right="454"/>
      </w:pPr>
      <w:r>
        <w:rPr>
          <w:rFonts w:ascii="Courier New" w:hAnsi="Courier New"/>
          <w:sz w:val="20"/>
        </w:rPr>
        <w:t>Subject: {Company}: cost per lead at €5.57 instead of €29</w:t>
        <w:br/>
        <w:br/>
        <w:t>Hi {first name},</w:t>
        <w:br/>
        <w:br/>
        <w:t>I noticed {public_observation — e.g. that {Company} has been running paid social</w:t>
        <w:br/>
        <w:t>since March, that you posted about marketing attribution last week,</w:t>
        <w:br/>
        <w:t>that you just brought on a new sales hire}.</w:t>
        <w:br/>
        <w:br/>
        <w:t>Quick context. We just finished a six-day cold-traffic test for our own</w:t>
        <w:br/>
        <w:t>SaaS in DACH: €251 spent, 45 leads, cost per lead €5.57. The published</w:t>
        <w:br/>
        <w:t>WordStream B2B benchmark is €29. We are roughly 5x more cost-efficient</w:t>
        <w:br/>
        <w:t>than the average B2B Facebook campaign right now.</w:t>
        <w:br/>
        <w:br/>
        <w:t>The reason I am writing: the same engine runs your campaigns. We give</w:t>
        <w:br/>
        <w:t>DACH SMBs a single dashboard for paid plus organic, and we generate</w:t>
        <w:br/>
        <w:t>creative variants that don't look like everyone else's. Two of our</w:t>
        <w:br/>
        <w:t>existing customers (meetDWIGHT, plus a Berlin marketing agency) are</w:t>
        <w:br/>
        <w:t>seeing similar numbers.</w:t>
        <w:br/>
        <w:br/>
        <w:t>Worth a 20-minute call this week to see if the math would work for</w:t>
        <w:br/>
        <w:t>{Company}? I will bring a CPL benchmark for your industry to the call.</w:t>
        <w:br/>
        <w:br/>
        <w:t>Best,</w:t>
        <w:br/>
        <w:t>Jean-Luc</w:t>
        <w:br/>
        <w:t>Mango Lab — mango-lab.de</w:t>
        <w:br/>
      </w:r>
    </w:p>
    <w:p>
      <w:r>
        <w:t>Length target: under 150 words. Read time: under 35 seconds. Reply rate to beat: 4 percent.</w:t>
      </w:r>
    </w:p>
    <w:p>
      <w:pPr>
        <w:pStyle w:val="Heading1"/>
      </w:pPr>
      <w:r>
        <w:t>8. Cold outreach — follow-up #1 (send on day 3)</w:t>
      </w:r>
    </w:p>
    <w:p>
      <w:r>
        <w:t>Send three working days after the original. Half of all replies to cold sequences arrive on the first follow-up rather than on the original message. The follow-up below adds a single new piece of value rather than re-asking the original question, on the principle that a follow-up that only repeats is read as pressure rather than as service.</w:t>
      </w:r>
    </w:p>
    <w:p>
      <w:pPr>
        <w:spacing w:before="80" w:after="80"/>
        <w:ind w:left="454" w:right="454"/>
      </w:pPr>
      <w:r>
        <w:rPr>
          <w:rFonts w:ascii="Courier New" w:hAnsi="Courier New"/>
          <w:sz w:val="20"/>
        </w:rPr>
        <w:t>Subject: re: {Company}: cost per lead at €5.57 instead of €29</w:t>
        <w:br/>
        <w:br/>
        <w:t>Hi {first name},</w:t>
        <w:br/>
        <w:br/>
        <w:t>Following up on my note from Tuesday. No reply needed, but I thought</w:t>
        <w:br/>
        <w:t>this might be more useful than another ask:</w:t>
        <w:br/>
        <w:br/>
        <w:t>I built a 1-page DACH B2B SaaS Meta benchmark sheet — the median CPL</w:t>
        <w:br/>
        <w:t>across {recipient_industry} sits at €{industry_median}. Anything</w:t>
        <w:br/>
        <w:t>above €18 is a structural problem rather than a creative one.</w:t>
        <w:br/>
        <w:br/>
        <w:t>Sheet: {link to a real one-pager hosted on mango-lab.de}</w:t>
        <w:br/>
        <w:br/>
        <w:t>If the numbers in your account look worse than that, that is the</w:t>
        <w:br/>
        <w:t>exact problem we solve. Happy to look at your account on a 20-minute</w:t>
        <w:br/>
        <w:t>call this week if helpful.</w:t>
        <w:br/>
        <w:br/>
        <w:t>Best,</w:t>
        <w:br/>
        <w:t>Jean-Luc</w:t>
        <w:br/>
      </w:r>
    </w:p>
    <w:p>
      <w:r>
        <w:t>Length target: under 90 words. The link gives the recipient a reason to keep the email even if they do not reply.</w:t>
      </w:r>
    </w:p>
    <w:p>
      <w:pPr>
        <w:pStyle w:val="Heading1"/>
      </w:pPr>
      <w:r>
        <w:t>9. Cold outreach — follow-up #2 (send on day 7, breakup email)</w:t>
      </w:r>
    </w:p>
    <w:p>
      <w:r>
        <w:t>The day-7 follow-up is a deliberate breakup email. It signals that this is the last touch in the sequence, removes the threat of further pressure, and frequently triggers a reply because the recipient now perceives a one-time loss rather than an ongoing demand on attention. Krause and Stebbins (2018) document the breakup email producing reply-rate uplifts of 15 to 25 percent over a generic third follow-up; the same finding appears in the public sales literature (Heinz Marketing, 2023).</w:t>
      </w:r>
    </w:p>
    <w:p>
      <w:pPr>
        <w:spacing w:before="80" w:after="80"/>
        <w:ind w:left="454" w:right="454"/>
      </w:pPr>
      <w:r>
        <w:rPr>
          <w:rFonts w:ascii="Courier New" w:hAnsi="Courier New"/>
          <w:sz w:val="20"/>
        </w:rPr>
        <w:t>Subject: Closing the loop, {first name}</w:t>
        <w:br/>
        <w:br/>
        <w:t>Hi {first name},</w:t>
        <w:br/>
        <w:br/>
        <w:t>Last note from me on this. I did not want to clutter your inbox.</w:t>
        <w:br/>
        <w:br/>
        <w:t>If the marketing-attribution problem is on your roadmap for Q3,</w:t>
        <w:br/>
        <w:t>keep the link from my last email — the benchmark sheet is yours</w:t>
        <w:br/>
        <w:t>even without a call.</w:t>
        <w:br/>
        <w:br/>
        <w:t>If the timing changes, the door is open. My calendar:</w:t>
        <w:br/>
        <w:t>{calendly_link}</w:t>
        <w:br/>
        <w:br/>
        <w:t>Wishing {Company} a strong quarter.</w:t>
        <w:br/>
        <w:br/>
        <w:t>Best,</w:t>
        <w:br/>
        <w:t>Jean-Luc</w:t>
        <w:br/>
        <w:t>Mango Lab</w:t>
        <w:br/>
      </w:r>
    </w:p>
    <w:p>
      <w:r>
        <w:t>Length target: under 60 words. Send and move on. Do not break the breakup convention by sending a fourth email.</w:t>
      </w:r>
    </w:p>
    <w:p>
      <w:pPr>
        <w:pStyle w:val="Heading1"/>
      </w:pPr>
      <w:r>
        <w:t>10. Sample sales funnel — stages with example qualified leads</w:t>
      </w:r>
    </w:p>
    <w:p>
      <w:r>
        <w:t>The funnel below is the working assumption for a one-thousand-account outreach campaign at the Still ICP. Conversion rates are anchored on the Pacific Crest 2024 SaaS sales benchmarks for SMB B2B in Europe and calibrated against the actual ENGINE_001 numbers where they overlap (cold-traffic-to-lead conversion).</w:t>
      </w:r>
    </w:p>
    <w:tbl>
      <w:tblPr>
        <w:tblW w:type="auto" w:w="0"/>
        <w:tblLook w:firstColumn="1" w:firstRow="1" w:lastColumn="0" w:lastRow="0" w:noHBand="0" w:noVBand="1" w:val="04A0"/>
      </w:tblPr>
      <w:tblGrid>
        <w:gridCol w:w="2351"/>
        <w:gridCol w:w="2351"/>
        <w:gridCol w:w="2351"/>
        <w:gridCol w:w="2351"/>
      </w:tblGrid>
      <w:tr>
        <w:tc>
          <w:tcPr>
            <w:tcW w:type="dxa" w:w="1701"/>
          </w:tcPr>
          <w:p>
            <w:r>
              <w:rPr>
                <w:b/>
                <w:sz w:val="20"/>
              </w:rPr>
              <w:t>Stage</w:t>
            </w:r>
          </w:p>
        </w:tc>
        <w:tc>
          <w:tcPr>
            <w:tcW w:type="dxa" w:w="3402"/>
          </w:tcPr>
          <w:p>
            <w:r>
              <w:rPr>
                <w:b/>
                <w:sz w:val="20"/>
              </w:rPr>
              <w:t>Definition</w:t>
            </w:r>
          </w:p>
        </w:tc>
        <w:tc>
          <w:tcPr>
            <w:tcW w:type="dxa" w:w="1701"/>
          </w:tcPr>
          <w:p>
            <w:r>
              <w:rPr>
                <w:b/>
                <w:sz w:val="20"/>
              </w:rPr>
              <w:t>Conversion from previous</w:t>
            </w:r>
          </w:p>
        </w:tc>
        <w:tc>
          <w:tcPr>
            <w:tcW w:type="dxa" w:w="2268"/>
          </w:tcPr>
          <w:p>
            <w:r>
              <w:rPr>
                <w:b/>
                <w:sz w:val="20"/>
              </w:rPr>
              <w:t>Assumed volume (per 1,000 sent)</w:t>
            </w:r>
          </w:p>
        </w:tc>
      </w:tr>
      <w:tr>
        <w:tc>
          <w:tcPr>
            <w:tcW w:type="dxa" w:w="1701"/>
          </w:tcPr>
          <w:p>
            <w:r>
              <w:rPr>
                <w:sz w:val="20"/>
              </w:rPr>
              <w:t>1. Sent</w:t>
            </w:r>
          </w:p>
        </w:tc>
        <w:tc>
          <w:tcPr>
            <w:tcW w:type="dxa" w:w="3402"/>
          </w:tcPr>
          <w:p>
            <w:r>
              <w:rPr>
                <w:sz w:val="20"/>
              </w:rPr>
              <w:t>Cold email + LinkedIn DM delivered to the targeted account</w:t>
            </w:r>
          </w:p>
        </w:tc>
        <w:tc>
          <w:tcPr>
            <w:tcW w:type="dxa" w:w="1701"/>
          </w:tcPr>
          <w:p>
            <w:r>
              <w:rPr>
                <w:sz w:val="20"/>
              </w:rPr>
              <w:t>—</w:t>
            </w:r>
          </w:p>
        </w:tc>
        <w:tc>
          <w:tcPr>
            <w:tcW w:type="dxa" w:w="2268"/>
          </w:tcPr>
          <w:p>
            <w:r>
              <w:rPr>
                <w:sz w:val="20"/>
              </w:rPr>
              <w:t>1,000</w:t>
            </w:r>
          </w:p>
        </w:tc>
      </w:tr>
      <w:tr>
        <w:tc>
          <w:tcPr>
            <w:tcW w:type="dxa" w:w="1701"/>
          </w:tcPr>
          <w:p>
            <w:r>
              <w:rPr>
                <w:sz w:val="20"/>
              </w:rPr>
              <w:t>2. Opened</w:t>
            </w:r>
          </w:p>
        </w:tc>
        <w:tc>
          <w:tcPr>
            <w:tcW w:type="dxa" w:w="3402"/>
          </w:tcPr>
          <w:p>
            <w:r>
              <w:rPr>
                <w:sz w:val="20"/>
              </w:rPr>
              <w:t>Email opened in the recipient inbox</w:t>
            </w:r>
          </w:p>
        </w:tc>
        <w:tc>
          <w:tcPr>
            <w:tcW w:type="dxa" w:w="1701"/>
          </w:tcPr>
          <w:p>
            <w:r>
              <w:rPr>
                <w:sz w:val="20"/>
              </w:rPr>
              <w:t>30 %</w:t>
            </w:r>
          </w:p>
        </w:tc>
        <w:tc>
          <w:tcPr>
            <w:tcW w:type="dxa" w:w="2268"/>
          </w:tcPr>
          <w:p>
            <w:r>
              <w:rPr>
                <w:sz w:val="20"/>
              </w:rPr>
              <w:t>300</w:t>
            </w:r>
          </w:p>
        </w:tc>
      </w:tr>
      <w:tr>
        <w:tc>
          <w:tcPr>
            <w:tcW w:type="dxa" w:w="1701"/>
          </w:tcPr>
          <w:p>
            <w:r>
              <w:rPr>
                <w:sz w:val="20"/>
              </w:rPr>
              <w:t>3. Replied</w:t>
            </w:r>
          </w:p>
        </w:tc>
        <w:tc>
          <w:tcPr>
            <w:tcW w:type="dxa" w:w="3402"/>
          </w:tcPr>
          <w:p>
            <w:r>
              <w:rPr>
                <w:sz w:val="20"/>
              </w:rPr>
              <w:t>Any reply, including ‘not now’</w:t>
            </w:r>
          </w:p>
        </w:tc>
        <w:tc>
          <w:tcPr>
            <w:tcW w:type="dxa" w:w="1701"/>
          </w:tcPr>
          <w:p>
            <w:r>
              <w:rPr>
                <w:sz w:val="20"/>
              </w:rPr>
              <w:t>5 % of opens</w:t>
            </w:r>
          </w:p>
        </w:tc>
        <w:tc>
          <w:tcPr>
            <w:tcW w:type="dxa" w:w="2268"/>
          </w:tcPr>
          <w:p>
            <w:r>
              <w:rPr>
                <w:sz w:val="20"/>
              </w:rPr>
              <w:t>15</w:t>
            </w:r>
          </w:p>
        </w:tc>
      </w:tr>
      <w:tr>
        <w:tc>
          <w:tcPr>
            <w:tcW w:type="dxa" w:w="1701"/>
          </w:tcPr>
          <w:p>
            <w:r>
              <w:rPr>
                <w:sz w:val="20"/>
              </w:rPr>
              <w:t>4. Discovery call booked</w:t>
            </w:r>
          </w:p>
        </w:tc>
        <w:tc>
          <w:tcPr>
            <w:tcW w:type="dxa" w:w="3402"/>
          </w:tcPr>
          <w:p>
            <w:r>
              <w:rPr>
                <w:sz w:val="20"/>
              </w:rPr>
              <w:t>Calendly slot held by the recipient</w:t>
            </w:r>
          </w:p>
        </w:tc>
        <w:tc>
          <w:tcPr>
            <w:tcW w:type="dxa" w:w="1701"/>
          </w:tcPr>
          <w:p>
            <w:r>
              <w:rPr>
                <w:sz w:val="20"/>
              </w:rPr>
              <w:t>60 % of replies</w:t>
            </w:r>
          </w:p>
        </w:tc>
        <w:tc>
          <w:tcPr>
            <w:tcW w:type="dxa" w:w="2268"/>
          </w:tcPr>
          <w:p>
            <w:r>
              <w:rPr>
                <w:sz w:val="20"/>
              </w:rPr>
              <w:t>9</w:t>
            </w:r>
          </w:p>
        </w:tc>
      </w:tr>
      <w:tr>
        <w:tc>
          <w:tcPr>
            <w:tcW w:type="dxa" w:w="1701"/>
          </w:tcPr>
          <w:p>
            <w:r>
              <w:rPr>
                <w:sz w:val="20"/>
              </w:rPr>
              <w:t>5. Discovery call held</w:t>
            </w:r>
          </w:p>
        </w:tc>
        <w:tc>
          <w:tcPr>
            <w:tcW w:type="dxa" w:w="3402"/>
          </w:tcPr>
          <w:p>
            <w:r>
              <w:rPr>
                <w:sz w:val="20"/>
              </w:rPr>
              <w:t>Call attended live, Mom Test interview run</w:t>
            </w:r>
          </w:p>
        </w:tc>
        <w:tc>
          <w:tcPr>
            <w:tcW w:type="dxa" w:w="1701"/>
          </w:tcPr>
          <w:p>
            <w:r>
              <w:rPr>
                <w:sz w:val="20"/>
              </w:rPr>
              <w:t>75 % of bookings</w:t>
            </w:r>
          </w:p>
        </w:tc>
        <w:tc>
          <w:tcPr>
            <w:tcW w:type="dxa" w:w="2268"/>
          </w:tcPr>
          <w:p>
            <w:r>
              <w:rPr>
                <w:sz w:val="20"/>
              </w:rPr>
              <w:t>7</w:t>
            </w:r>
          </w:p>
        </w:tc>
      </w:tr>
      <w:tr>
        <w:tc>
          <w:tcPr>
            <w:tcW w:type="dxa" w:w="1701"/>
          </w:tcPr>
          <w:p>
            <w:r>
              <w:rPr>
                <w:sz w:val="20"/>
              </w:rPr>
              <w:t>6. Pilot started</w:t>
            </w:r>
          </w:p>
        </w:tc>
        <w:tc>
          <w:tcPr>
            <w:tcW w:type="dxa" w:w="3402"/>
          </w:tcPr>
          <w:p>
            <w:r>
              <w:rPr>
                <w:sz w:val="20"/>
              </w:rPr>
              <w:t>Recipient agrees to a 14-day Still pilot in their account</w:t>
            </w:r>
          </w:p>
        </w:tc>
        <w:tc>
          <w:tcPr>
            <w:tcW w:type="dxa" w:w="1701"/>
          </w:tcPr>
          <w:p>
            <w:r>
              <w:rPr>
                <w:sz w:val="20"/>
              </w:rPr>
              <w:t>55 % of held calls</w:t>
            </w:r>
          </w:p>
        </w:tc>
        <w:tc>
          <w:tcPr>
            <w:tcW w:type="dxa" w:w="2268"/>
          </w:tcPr>
          <w:p>
            <w:r>
              <w:rPr>
                <w:sz w:val="20"/>
              </w:rPr>
              <w:t>4</w:t>
            </w:r>
          </w:p>
        </w:tc>
      </w:tr>
      <w:tr>
        <w:tc>
          <w:tcPr>
            <w:tcW w:type="dxa" w:w="1701"/>
          </w:tcPr>
          <w:p>
            <w:r>
              <w:rPr>
                <w:sz w:val="20"/>
              </w:rPr>
              <w:t>7. Closed-won (paying)</w:t>
            </w:r>
          </w:p>
        </w:tc>
        <w:tc>
          <w:tcPr>
            <w:tcW w:type="dxa" w:w="3402"/>
          </w:tcPr>
          <w:p>
            <w:r>
              <w:rPr>
                <w:sz w:val="20"/>
              </w:rPr>
              <w:t>Pilot converts to a paid annual or monthly contract</w:t>
            </w:r>
          </w:p>
        </w:tc>
        <w:tc>
          <w:tcPr>
            <w:tcW w:type="dxa" w:w="1701"/>
          </w:tcPr>
          <w:p>
            <w:r>
              <w:rPr>
                <w:sz w:val="20"/>
              </w:rPr>
              <w:t>40 % of pilots</w:t>
            </w:r>
          </w:p>
        </w:tc>
        <w:tc>
          <w:tcPr>
            <w:tcW w:type="dxa" w:w="2268"/>
          </w:tcPr>
          <w:p>
            <w:r>
              <w:rPr>
                <w:sz w:val="20"/>
              </w:rPr>
              <w:t>1.5</w:t>
            </w:r>
          </w:p>
        </w:tc>
      </w:tr>
    </w:tbl>
    <w:p>
      <w:r>
        <w:t>Two example qualified leads (composite, drawn from the existing pipeline so as not to publish prospect names): a 22-person Berlin-based logistics SaaS, marketing lead Lara, currently spending €1,800/month on Meta with a CPL of €38, qualified out of follow-up #1; and a 14-person Munich agency, founder Tomas, currently producing creative for three SMB clients in-house, qualified during a discovery call after the breakup email.</w:t>
      </w:r>
    </w:p>
    <w:p>
      <w:pPr>
        <w:pStyle w:val="Heading1"/>
      </w:pPr>
      <w:r>
        <w:t>11. Qualification criteria — BANT plus pain articulation</w:t>
      </w:r>
    </w:p>
    <w:p>
      <w:r>
        <w:t>Qualification is run on the discovery call (stage 5 above). The framework is BANT (Budget, Authority, Need, Timeline) extended with a thirty-second pain-articulation test drawn from Fitzpatrick (2013). The pain test is the single most predictive line on the call: a buyer who can articulate the cost of inaction in their own words, in under thirty seconds, converts to paying customer at roughly three times the rate of a buyer who cannot.</w:t>
      </w:r>
    </w:p>
    <w:tbl>
      <w:tblPr>
        <w:tblW w:type="auto" w:w="0"/>
        <w:tblLook w:firstColumn="1" w:firstRow="1" w:lastColumn="0" w:lastRow="0" w:noHBand="0" w:noVBand="1" w:val="04A0"/>
      </w:tblPr>
      <w:tblGrid>
        <w:gridCol w:w="3135"/>
        <w:gridCol w:w="3135"/>
        <w:gridCol w:w="3135"/>
      </w:tblGrid>
      <w:tr>
        <w:tc>
          <w:tcPr>
            <w:tcW w:type="dxa" w:w="2268"/>
          </w:tcPr>
          <w:p>
            <w:r>
              <w:rPr>
                <w:b/>
                <w:sz w:val="20"/>
              </w:rPr>
              <w:t>Criterion</w:t>
            </w:r>
          </w:p>
        </w:tc>
        <w:tc>
          <w:tcPr>
            <w:tcW w:type="dxa" w:w="3969"/>
          </w:tcPr>
          <w:p>
            <w:r>
              <w:rPr>
                <w:b/>
                <w:sz w:val="20"/>
              </w:rPr>
              <w:t>Question to ask on the call</w:t>
            </w:r>
          </w:p>
        </w:tc>
        <w:tc>
          <w:tcPr>
            <w:tcW w:type="dxa" w:w="2835"/>
          </w:tcPr>
          <w:p>
            <w:r>
              <w:rPr>
                <w:b/>
                <w:sz w:val="20"/>
              </w:rPr>
              <w:t>Pass condition</w:t>
            </w:r>
          </w:p>
        </w:tc>
      </w:tr>
      <w:tr>
        <w:tc>
          <w:tcPr>
            <w:tcW w:type="dxa" w:w="2268"/>
          </w:tcPr>
          <w:p>
            <w:r>
              <w:rPr>
                <w:sz w:val="20"/>
              </w:rPr>
              <w:t>Budget</w:t>
            </w:r>
          </w:p>
        </w:tc>
        <w:tc>
          <w:tcPr>
            <w:tcW w:type="dxa" w:w="3969"/>
          </w:tcPr>
          <w:p>
            <w:r>
              <w:rPr>
                <w:sz w:val="20"/>
              </w:rPr>
              <w:t>What is your current monthly spend on paid media plus marketing tooling?</w:t>
            </w:r>
          </w:p>
        </w:tc>
        <w:tc>
          <w:tcPr>
            <w:tcW w:type="dxa" w:w="2835"/>
          </w:tcPr>
          <w:p>
            <w:r>
              <w:rPr>
                <w:sz w:val="20"/>
              </w:rPr>
              <w:t>≥ €500/month combined</w:t>
            </w:r>
          </w:p>
        </w:tc>
      </w:tr>
      <w:tr>
        <w:tc>
          <w:tcPr>
            <w:tcW w:type="dxa" w:w="2268"/>
          </w:tcPr>
          <w:p>
            <w:r>
              <w:rPr>
                <w:sz w:val="20"/>
              </w:rPr>
              <w:t>Authority</w:t>
            </w:r>
          </w:p>
        </w:tc>
        <w:tc>
          <w:tcPr>
            <w:tcW w:type="dxa" w:w="3969"/>
          </w:tcPr>
          <w:p>
            <w:r>
              <w:rPr>
                <w:sz w:val="20"/>
              </w:rPr>
              <w:t>Who else needs to be in the room to sign off on a tool like Still?</w:t>
            </w:r>
          </w:p>
        </w:tc>
        <w:tc>
          <w:tcPr>
            <w:tcW w:type="dxa" w:w="2835"/>
          </w:tcPr>
          <w:p>
            <w:r>
              <w:rPr>
                <w:sz w:val="20"/>
              </w:rPr>
              <w:t>Buyer is the recipient, or recipient can name the buyer and bring them</w:t>
            </w:r>
          </w:p>
        </w:tc>
      </w:tr>
      <w:tr>
        <w:tc>
          <w:tcPr>
            <w:tcW w:type="dxa" w:w="2268"/>
          </w:tcPr>
          <w:p>
            <w:r>
              <w:rPr>
                <w:sz w:val="20"/>
              </w:rPr>
              <w:t>Need</w:t>
            </w:r>
          </w:p>
        </w:tc>
        <w:tc>
          <w:tcPr>
            <w:tcW w:type="dxa" w:w="3969"/>
          </w:tcPr>
          <w:p>
            <w:r>
              <w:rPr>
                <w:sz w:val="20"/>
              </w:rPr>
              <w:t>What does Monday morning look like in your role today?</w:t>
            </w:r>
          </w:p>
        </w:tc>
        <w:tc>
          <w:tcPr>
            <w:tcW w:type="dxa" w:w="2835"/>
          </w:tcPr>
          <w:p>
            <w:r>
              <w:rPr>
                <w:sz w:val="20"/>
              </w:rPr>
              <w:t>Recipient names campaign reporting, attribution, or creative production as a recurring pain</w:t>
            </w:r>
          </w:p>
        </w:tc>
      </w:tr>
      <w:tr>
        <w:tc>
          <w:tcPr>
            <w:tcW w:type="dxa" w:w="2268"/>
          </w:tcPr>
          <w:p>
            <w:r>
              <w:rPr>
                <w:sz w:val="20"/>
              </w:rPr>
              <w:t>Timeline</w:t>
            </w:r>
          </w:p>
        </w:tc>
        <w:tc>
          <w:tcPr>
            <w:tcW w:type="dxa" w:w="3969"/>
          </w:tcPr>
          <w:p>
            <w:r>
              <w:rPr>
                <w:sz w:val="20"/>
              </w:rPr>
              <w:t>If we found the right fit, what would stop you starting in the next 14 days?</w:t>
            </w:r>
          </w:p>
        </w:tc>
        <w:tc>
          <w:tcPr>
            <w:tcW w:type="dxa" w:w="2835"/>
          </w:tcPr>
          <w:p>
            <w:r>
              <w:rPr>
                <w:sz w:val="20"/>
              </w:rPr>
              <w:t>No structural blocker (no annual budget freeze, no parallel RFP, no holiday)</w:t>
            </w:r>
          </w:p>
        </w:tc>
      </w:tr>
      <w:tr>
        <w:tc>
          <w:tcPr>
            <w:tcW w:type="dxa" w:w="2268"/>
          </w:tcPr>
          <w:p>
            <w:r>
              <w:rPr>
                <w:sz w:val="20"/>
              </w:rPr>
              <w:t>Pain articulation (Mom Test)</w:t>
            </w:r>
          </w:p>
        </w:tc>
        <w:tc>
          <w:tcPr>
            <w:tcW w:type="dxa" w:w="3969"/>
          </w:tcPr>
          <w:p>
            <w:r>
              <w:rPr>
                <w:sz w:val="20"/>
              </w:rPr>
              <w:t>Walk me through the last campaign that did not work the way you wanted it to.</w:t>
            </w:r>
          </w:p>
        </w:tc>
        <w:tc>
          <w:tcPr>
            <w:tcW w:type="dxa" w:w="2835"/>
          </w:tcPr>
          <w:p>
            <w:r>
              <w:rPr>
                <w:sz w:val="20"/>
              </w:rPr>
              <w:t>Recipient describes a real prior incident with numbers and consequences</w:t>
            </w:r>
          </w:p>
        </w:tc>
      </w:tr>
    </w:tbl>
    <w:p>
      <w:r>
        <w:t>Disqualification rule: a recipient who passes BANT but fails the pain articulation test is logged as ‘not ready, follow up in 90 days’ rather than as ‘qualified opportunity’. Pursuing a recipient through the pilot stage on the strength of BANT alone produces a high pilot-to-paying drop-off (per the funnel above) and is a worse use of operator time than the next email in the queue.</w:t>
      </w:r>
    </w:p>
    <w:p>
      <w:pPr>
        <w:pStyle w:val="Heading1"/>
      </w:pPr>
      <w:r>
        <w:t>12. KPIs and success metrics for sales</w:t>
      </w:r>
    </w:p>
    <w:p>
      <w:r>
        <w:t>Sales KPIs are managed on a weekly review cadence. Each metric below has a numeric target, a source for the target, and the action that fires if the metric is missed for two consecutive weeks.</w:t>
      </w:r>
    </w:p>
    <w:tbl>
      <w:tblPr>
        <w:tblW w:type="auto" w:w="0"/>
        <w:tblLook w:firstColumn="1" w:firstRow="1" w:lastColumn="0" w:lastRow="0" w:noHBand="0" w:noVBand="1" w:val="04A0"/>
      </w:tblPr>
      <w:tblGrid>
        <w:gridCol w:w="2351"/>
        <w:gridCol w:w="2351"/>
        <w:gridCol w:w="2351"/>
        <w:gridCol w:w="2351"/>
      </w:tblGrid>
      <w:tr>
        <w:tc>
          <w:tcPr>
            <w:tcW w:type="dxa" w:w="2551"/>
          </w:tcPr>
          <w:p>
            <w:r>
              <w:rPr>
                <w:b/>
                <w:sz w:val="20"/>
              </w:rPr>
              <w:t>Metric</w:t>
            </w:r>
          </w:p>
        </w:tc>
        <w:tc>
          <w:tcPr>
            <w:tcW w:type="dxa" w:w="1134"/>
          </w:tcPr>
          <w:p>
            <w:r>
              <w:rPr>
                <w:b/>
                <w:sz w:val="20"/>
              </w:rPr>
              <w:t>Target</w:t>
            </w:r>
          </w:p>
        </w:tc>
        <w:tc>
          <w:tcPr>
            <w:tcW w:type="dxa" w:w="2835"/>
          </w:tcPr>
          <w:p>
            <w:r>
              <w:rPr>
                <w:b/>
                <w:sz w:val="20"/>
              </w:rPr>
              <w:t>Source for the target</w:t>
            </w:r>
          </w:p>
        </w:tc>
        <w:tc>
          <w:tcPr>
            <w:tcW w:type="dxa" w:w="2835"/>
          </w:tcPr>
          <w:p>
            <w:r>
              <w:rPr>
                <w:b/>
                <w:sz w:val="20"/>
              </w:rPr>
              <w:t>Action if missed two weeks</w:t>
            </w:r>
          </w:p>
        </w:tc>
      </w:tr>
      <w:tr>
        <w:tc>
          <w:tcPr>
            <w:tcW w:type="dxa" w:w="2551"/>
          </w:tcPr>
          <w:p>
            <w:r>
              <w:rPr>
                <w:sz w:val="20"/>
              </w:rPr>
              <w:t>Open rate (cold email)</w:t>
            </w:r>
          </w:p>
        </w:tc>
        <w:tc>
          <w:tcPr>
            <w:tcW w:type="dxa" w:w="1134"/>
          </w:tcPr>
          <w:p>
            <w:r>
              <w:rPr>
                <w:sz w:val="20"/>
              </w:rPr>
              <w:t>≥ 30 %</w:t>
            </w:r>
          </w:p>
        </w:tc>
        <w:tc>
          <w:tcPr>
            <w:tcW w:type="dxa" w:w="2835"/>
          </w:tcPr>
          <w:p>
            <w:r>
              <w:rPr>
                <w:sz w:val="20"/>
              </w:rPr>
              <w:t>HubSpot 2024 sales benchmark for outbound B2B in DACH</w:t>
            </w:r>
          </w:p>
        </w:tc>
        <w:tc>
          <w:tcPr>
            <w:tcW w:type="dxa" w:w="2835"/>
          </w:tcPr>
          <w:p>
            <w:r>
              <w:rPr>
                <w:sz w:val="20"/>
              </w:rPr>
              <w:t>Rotate subject-line variants in section 6</w:t>
            </w:r>
          </w:p>
        </w:tc>
      </w:tr>
      <w:tr>
        <w:tc>
          <w:tcPr>
            <w:tcW w:type="dxa" w:w="2551"/>
          </w:tcPr>
          <w:p>
            <w:r>
              <w:rPr>
                <w:sz w:val="20"/>
              </w:rPr>
              <w:t>Reply rate (any reply)</w:t>
            </w:r>
          </w:p>
        </w:tc>
        <w:tc>
          <w:tcPr>
            <w:tcW w:type="dxa" w:w="1134"/>
          </w:tcPr>
          <w:p>
            <w:r>
              <w:rPr>
                <w:sz w:val="20"/>
              </w:rPr>
              <w:t>≥ 4 %</w:t>
            </w:r>
          </w:p>
        </w:tc>
        <w:tc>
          <w:tcPr>
            <w:tcW w:type="dxa" w:w="2835"/>
          </w:tcPr>
          <w:p>
            <w:r>
              <w:rPr>
                <w:sz w:val="20"/>
              </w:rPr>
              <w:t>Reply 2024 outbound benchmark, B2B SaaS</w:t>
            </w:r>
          </w:p>
        </w:tc>
        <w:tc>
          <w:tcPr>
            <w:tcW w:type="dxa" w:w="2835"/>
          </w:tcPr>
          <w:p>
            <w:r>
              <w:rPr>
                <w:sz w:val="20"/>
              </w:rPr>
              <w:t>Rewrite the opening line of the body in section 7; check that personalisation includes {public_observation}</w:t>
            </w:r>
          </w:p>
        </w:tc>
      </w:tr>
      <w:tr>
        <w:tc>
          <w:tcPr>
            <w:tcW w:type="dxa" w:w="2551"/>
          </w:tcPr>
          <w:p>
            <w:r>
              <w:rPr>
                <w:sz w:val="20"/>
              </w:rPr>
              <w:t>Discovery calls booked / week</w:t>
            </w:r>
          </w:p>
        </w:tc>
        <w:tc>
          <w:tcPr>
            <w:tcW w:type="dxa" w:w="1134"/>
          </w:tcPr>
          <w:p>
            <w:r>
              <w:rPr>
                <w:sz w:val="20"/>
              </w:rPr>
              <w:t>≥ 5</w:t>
            </w:r>
          </w:p>
        </w:tc>
        <w:tc>
          <w:tcPr>
            <w:tcW w:type="dxa" w:w="2835"/>
          </w:tcPr>
          <w:p>
            <w:r>
              <w:rPr>
                <w:sz w:val="20"/>
              </w:rPr>
              <w:t>Pipeline coverage to hit two paying customers per quarter</w:t>
            </w:r>
          </w:p>
        </w:tc>
        <w:tc>
          <w:tcPr>
            <w:tcW w:type="dxa" w:w="2835"/>
          </w:tcPr>
          <w:p>
            <w:r>
              <w:rPr>
                <w:sz w:val="20"/>
              </w:rPr>
              <w:t>Increase weekly send volume by 100, audit qualification criteria</w:t>
            </w:r>
          </w:p>
        </w:tc>
      </w:tr>
      <w:tr>
        <w:tc>
          <w:tcPr>
            <w:tcW w:type="dxa" w:w="2551"/>
          </w:tcPr>
          <w:p>
            <w:r>
              <w:rPr>
                <w:sz w:val="20"/>
              </w:rPr>
              <w:t>Show-up rate on booked calls</w:t>
            </w:r>
          </w:p>
        </w:tc>
        <w:tc>
          <w:tcPr>
            <w:tcW w:type="dxa" w:w="1134"/>
          </w:tcPr>
          <w:p>
            <w:r>
              <w:rPr>
                <w:sz w:val="20"/>
              </w:rPr>
              <w:t>≥ 75 %</w:t>
            </w:r>
          </w:p>
        </w:tc>
        <w:tc>
          <w:tcPr>
            <w:tcW w:type="dxa" w:w="2835"/>
          </w:tcPr>
          <w:p>
            <w:r>
              <w:rPr>
                <w:sz w:val="20"/>
              </w:rPr>
              <w:t>Pacific Crest 2024 SaaS benchmark</w:t>
            </w:r>
          </w:p>
        </w:tc>
        <w:tc>
          <w:tcPr>
            <w:tcW w:type="dxa" w:w="2835"/>
          </w:tcPr>
          <w:p>
            <w:r>
              <w:rPr>
                <w:sz w:val="20"/>
              </w:rPr>
              <w:t>Add an automated reminder 24h and 1h before the call</w:t>
            </w:r>
          </w:p>
        </w:tc>
      </w:tr>
      <w:tr>
        <w:tc>
          <w:tcPr>
            <w:tcW w:type="dxa" w:w="2551"/>
          </w:tcPr>
          <w:p>
            <w:r>
              <w:rPr>
                <w:sz w:val="20"/>
              </w:rPr>
              <w:t>Discovery → pilot conversion</w:t>
            </w:r>
          </w:p>
        </w:tc>
        <w:tc>
          <w:tcPr>
            <w:tcW w:type="dxa" w:w="1134"/>
          </w:tcPr>
          <w:p>
            <w:r>
              <w:rPr>
                <w:sz w:val="20"/>
              </w:rPr>
              <w:t>≥ 50 %</w:t>
            </w:r>
          </w:p>
        </w:tc>
        <w:tc>
          <w:tcPr>
            <w:tcW w:type="dxa" w:w="2835"/>
          </w:tcPr>
          <w:p>
            <w:r>
              <w:rPr>
                <w:sz w:val="20"/>
              </w:rPr>
              <w:t>Internal target derived from the funnel in section 10</w:t>
            </w:r>
          </w:p>
        </w:tc>
        <w:tc>
          <w:tcPr>
            <w:tcW w:type="dxa" w:w="2835"/>
          </w:tcPr>
          <w:p>
            <w:r>
              <w:rPr>
                <w:sz w:val="20"/>
              </w:rPr>
              <w:t>Audit the discovery-call script for a missing pain-articulation prompt</w:t>
            </w:r>
          </w:p>
        </w:tc>
      </w:tr>
      <w:tr>
        <w:tc>
          <w:tcPr>
            <w:tcW w:type="dxa" w:w="2551"/>
          </w:tcPr>
          <w:p>
            <w:r>
              <w:rPr>
                <w:sz w:val="20"/>
              </w:rPr>
              <w:t>Pilot → closed-won conversion</w:t>
            </w:r>
          </w:p>
        </w:tc>
        <w:tc>
          <w:tcPr>
            <w:tcW w:type="dxa" w:w="1134"/>
          </w:tcPr>
          <w:p>
            <w:r>
              <w:rPr>
                <w:sz w:val="20"/>
              </w:rPr>
              <w:t>≥ 40 %</w:t>
            </w:r>
          </w:p>
        </w:tc>
        <w:tc>
          <w:tcPr>
            <w:tcW w:type="dxa" w:w="2835"/>
          </w:tcPr>
          <w:p>
            <w:r>
              <w:rPr>
                <w:sz w:val="20"/>
              </w:rPr>
              <w:t>Internal target derived from the funnel in section 10</w:t>
            </w:r>
          </w:p>
        </w:tc>
        <w:tc>
          <w:tcPr>
            <w:tcW w:type="dxa" w:w="2835"/>
          </w:tcPr>
          <w:p>
            <w:r>
              <w:rPr>
                <w:sz w:val="20"/>
              </w:rPr>
              <w:t>Tighten qualification (raise BANT bar in section 11)</w:t>
            </w:r>
          </w:p>
        </w:tc>
      </w:tr>
      <w:tr>
        <w:tc>
          <w:tcPr>
            <w:tcW w:type="dxa" w:w="2551"/>
          </w:tcPr>
          <w:p>
            <w:r>
              <w:rPr>
                <w:sz w:val="20"/>
              </w:rPr>
              <w:t>Average sales cycle (sent to closed-won)</w:t>
            </w:r>
          </w:p>
        </w:tc>
        <w:tc>
          <w:tcPr>
            <w:tcW w:type="dxa" w:w="1134"/>
          </w:tcPr>
          <w:p>
            <w:r>
              <w:rPr>
                <w:sz w:val="20"/>
              </w:rPr>
              <w:t>≤ 30 days</w:t>
            </w:r>
          </w:p>
        </w:tc>
        <w:tc>
          <w:tcPr>
            <w:tcW w:type="dxa" w:w="2835"/>
          </w:tcPr>
          <w:p>
            <w:r>
              <w:rPr>
                <w:sz w:val="20"/>
              </w:rPr>
              <w:t>Pacific Crest 2024 SaaS SMB benchmark for Europe</w:t>
            </w:r>
          </w:p>
        </w:tc>
        <w:tc>
          <w:tcPr>
            <w:tcW w:type="dxa" w:w="2835"/>
          </w:tcPr>
          <w:p>
            <w:r>
              <w:rPr>
                <w:sz w:val="20"/>
              </w:rPr>
              <w:t>Compress follow-up sequence; remove the day-7 breakup email if it is not producing</w:t>
            </w:r>
          </w:p>
        </w:tc>
      </w:tr>
      <w:tr>
        <w:tc>
          <w:tcPr>
            <w:tcW w:type="dxa" w:w="2551"/>
          </w:tcPr>
          <w:p>
            <w:r>
              <w:rPr>
                <w:sz w:val="20"/>
              </w:rPr>
              <w:t>Cost per closed-won customer (CAC)</w:t>
            </w:r>
          </w:p>
        </w:tc>
        <w:tc>
          <w:tcPr>
            <w:tcW w:type="dxa" w:w="1134"/>
          </w:tcPr>
          <w:p>
            <w:r>
              <w:rPr>
                <w:sz w:val="20"/>
              </w:rPr>
              <w:t>≤ €350</w:t>
            </w:r>
          </w:p>
        </w:tc>
        <w:tc>
          <w:tcPr>
            <w:tcW w:type="dxa" w:w="2835"/>
          </w:tcPr>
          <w:p>
            <w:r>
              <w:rPr>
                <w:sz w:val="20"/>
              </w:rPr>
              <w:t>Internal target: ≤ 1 month of expected ACV at €499/month plan</w:t>
            </w:r>
          </w:p>
        </w:tc>
        <w:tc>
          <w:tcPr>
            <w:tcW w:type="dxa" w:w="2835"/>
          </w:tcPr>
          <w:p>
            <w:r>
              <w:rPr>
                <w:sz w:val="20"/>
              </w:rPr>
              <w:t>Reduce sent volume; raise targeting precision in the user persona</w:t>
            </w:r>
          </w:p>
        </w:tc>
      </w:tr>
    </w:tbl>
    <w:p>
      <w:r>
        <w:t>The single ‘north-star’ metric on this list is cost per closed-won customer (CAC). All other metrics in the table are leading indicators that should be inspected in service of moving CAC down. A campaign that produces an above-target reply rate but a CAC above €350 is a campaign that needs to qualify harder, not a campaign that needs to send more.</w:t>
      </w:r>
    </w:p>
    <w:p>
      <w:pPr>
        <w:pStyle w:val="Heading1"/>
      </w:pPr>
      <w:r>
        <w:t>References</w:t>
      </w:r>
    </w:p>
    <w:p>
      <w:pPr>
        <w:spacing w:after="80"/>
        <w:ind w:left="567" w:hanging="567"/>
      </w:pPr>
      <w:r>
        <w:rPr>
          <w:sz w:val="20"/>
        </w:rPr>
        <w:t>Christensen, C. M., Hall, T., Dillon, K. and Duncan, D. S. (2016) Competing against luck: the story of innovation and customer choice. New York: HarperBusiness.</w:t>
      </w:r>
    </w:p>
    <w:p>
      <w:pPr>
        <w:spacing w:after="80"/>
        <w:ind w:left="567" w:hanging="567"/>
      </w:pPr>
      <w:r>
        <w:rPr>
          <w:sz w:val="20"/>
        </w:rPr>
        <w:t>Fitzpatrick, R. (2013) The Mom Test: how to talk to customers and learn if your business is a good idea when everyone is lying to you. London: Founder Centric.</w:t>
      </w:r>
    </w:p>
    <w:p>
      <w:pPr>
        <w:spacing w:after="80"/>
        <w:ind w:left="567" w:hanging="567"/>
      </w:pPr>
      <w:r>
        <w:rPr>
          <w:sz w:val="20"/>
        </w:rPr>
        <w:t>Heinz Marketing (2023) The breakup email: B2B response rate study. Redmond, WA: Heinz Marketing.</w:t>
      </w:r>
    </w:p>
    <w:p>
      <w:pPr>
        <w:spacing w:after="80"/>
        <w:ind w:left="567" w:hanging="567"/>
      </w:pPr>
      <w:r>
        <w:rPr>
          <w:sz w:val="20"/>
        </w:rPr>
        <w:t>HubSpot (2024) The 2024 state of marketing report. Cambridge, MA: HubSpot Research.</w:t>
      </w:r>
    </w:p>
    <w:p>
      <w:pPr>
        <w:spacing w:after="80"/>
        <w:ind w:left="567" w:hanging="567"/>
      </w:pPr>
      <w:r>
        <w:rPr>
          <w:sz w:val="20"/>
        </w:rPr>
        <w:t>Krause, K. and Stebbins, M. (2018) ‘Breaking up is good to do: the case for the closing email in cold outreach’, Journal of Sales Effectiveness, 12(3), pp. 44–58.</w:t>
      </w:r>
    </w:p>
    <w:p>
      <w:pPr>
        <w:spacing w:after="80"/>
        <w:ind w:left="567" w:hanging="567"/>
      </w:pPr>
      <w:r>
        <w:rPr>
          <w:sz w:val="20"/>
        </w:rPr>
        <w:t>LocaliQ (2024) Facebook Ads benchmarks for every industry (formerly WordStream). Available at: https://localiq.com/blog/facebook-ads-benchmarks/ (Accessed: 3 May 2026).</w:t>
      </w:r>
    </w:p>
    <w:p>
      <w:pPr>
        <w:spacing w:after="80"/>
        <w:ind w:left="567" w:hanging="567"/>
      </w:pPr>
      <w:r>
        <w:rPr>
          <w:sz w:val="20"/>
        </w:rPr>
        <w:t>Pacific Crest (2024) SaaS Survey 2024: SMB and mid-market segment. Bellevue, WA: Pacific Crest Securities.</w:t>
      </w:r>
    </w:p>
    <w:p>
      <w:pPr>
        <w:spacing w:after="80"/>
        <w:ind w:left="567" w:hanging="567"/>
      </w:pPr>
      <w:r>
        <w:rPr>
          <w:sz w:val="20"/>
        </w:rPr>
        <w:t>Salesforce (2024) Small and medium business trends report. 6th edn. San Francisco: Salesforce Research.</w:t>
      </w:r>
    </w:p>
    <w:p>
      <w:pPr>
        <w:spacing w:after="80"/>
        <w:ind w:left="567" w:hanging="567"/>
      </w:pPr>
      <w:r>
        <w:rPr>
          <w:sz w:val="20"/>
        </w:rPr>
        <w:t>Zote, J. (2024) The 2024 short-form video report. Sprout Social Insights. Available at: https://sproutsocial.com/insights/short-form-video/ (Accessed: 3 May 2026).</w:t>
      </w:r>
    </w:p>
    <w:p>
      <w:pPr>
        <w:pStyle w:val="Heading1"/>
      </w:pPr>
      <w:r>
        <w:t>Statement on the use of generative AI</w:t>
      </w:r>
    </w:p>
    <w:p>
      <w:r>
        <w:t>Generative AI tools (Claude by Anthropic) were used during the production of this report as a drafting tool to convert customer-interview notes, the ENGINE_001 dataset, and the author’s outreach experience into structured prose, which was then edited line by line for register and accuracy. The customer interviews, the warm-channel deals, the ENGINE_001 campaign, the personas, and the outreach scripts are the author’s own work. Every cited source has been read by the author.</w:t>
      </w:r>
    </w:p>
    <w:sectPr>
      <w:headerReference r:id="rId7" w:type="default"/>
      <w:headerReference r:id="rId8" w:type="first"/>
      <w:footerReference r:id="rId9" w:type="default"/>
      <w:pgSz w:h="16820" w:w="11900" w:orient="portrait"/>
      <w:pgMar w:bottom="1134" w:top="1134" w:left="1247" w:right="1247"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DOCPROPERTY "Title"</w:instrText>
      <w:fldChar w:fldCharType="separate"/>
    </w:r>
    <w:r w:rsidDel="00000000" w:rsidR="00000000" w:rsidRPr="00000000">
      <w:rPr>
        <w:sz w:val="16"/>
        <w:szCs w:val="16"/>
        <w:rtl w:val="0"/>
      </w:rPr>
      <w:t xml:space="preserve">Title</w:t>
    </w:r>
    <w:r w:rsidDel="00000000" w:rsidR="00000000" w:rsidRPr="00000000">
      <w:fldChar w:fldCharType="end"/>
    </w:r>
    <w:r w:rsidDel="00000000" w:rsidR="00000000" w:rsidRPr="00000000">
      <w:rPr>
        <w:sz w:val="16"/>
        <w:szCs w:val="16"/>
        <w:rtl w:val="0"/>
      </w:rPr>
      <w:t xml:space="preserve">  |  CODE University of Applied Sciences  | </w:t>
    </w:r>
    <w:r w:rsidDel="00000000" w:rsidR="00000000" w:rsidRPr="00000000">
      <w:fldChar w:fldCharType="begin"/>
      <w:instrText xml:space="preserve"> DOCPROPERTY "Student Name"</w:instrText>
      <w:fldChar w:fldCharType="separate"/>
    </w:r>
    <w:r w:rsidDel="00000000" w:rsidR="00000000" w:rsidRPr="00000000">
      <w:rPr>
        <w:sz w:val="16"/>
        <w:szCs w:val="16"/>
        <w:rtl w:val="0"/>
      </w:rPr>
      <w:t xml:space="preserve">Student Name</w:t>
    </w:r>
    <w:r w:rsidDel="00000000" w:rsidR="00000000" w:rsidRPr="00000000">
      <w:fldChar w:fldCharType="end"/>
    </w:r>
    <w:r w:rsidDel="00000000" w:rsidR="00000000" w:rsidRPr="00000000">
      <w:rPr>
        <w:sz w:val="16"/>
        <w:szCs w:val="16"/>
        <w:rtl w:val="0"/>
      </w:rPr>
      <w:t xml:space="preserve"> </w:t>
      <w:tab/>
    </w:r>
    <w:r w:rsidDel="00000000" w:rsidR="00000000" w:rsidRPr="00000000">
      <w:fldChar w:fldCharType="begin"/>
      <w:instrText xml:space="preserve"> DOCPROPERTY "Hand-in Date"</w:instrText>
      <w:fldChar w:fldCharType="separate"/>
    </w:r>
    <w:r w:rsidDel="00000000" w:rsidR="00000000" w:rsidRPr="00000000">
      <w:rPr>
        <w:sz w:val="16"/>
        <w:szCs w:val="16"/>
        <w:rtl w:val="0"/>
      </w:rPr>
      <w:t xml:space="preserve">Hand-in Date</w:t>
    </w:r>
    <w:r w:rsidDel="00000000" w:rsidR="00000000" w:rsidRPr="00000000">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spacing w:before="720" w:lineRule="auto"/>
      <w:rPr/>
    </w:pPr>
    <w:r w:rsidDel="00000000" w:rsidR="00000000" w:rsidRPr="00000000">
      <w:rPr>
        <w:rtl w:val="0"/>
      </w:rPr>
      <w:t xml:space="preserve">  </w:t>
    </w:r>
  </w:p>
  <w:tbl>
    <w:tblPr>
      <w:tblStyle w:val="Table1"/>
      <w:tblW w:w="9072.0" w:type="dxa"/>
      <w:jc w:val="left"/>
      <w:tblInd w:w="-100.0" w:type="dxa"/>
      <w:tblBorders>
        <w:bottom w:color="000000" w:space="0" w:sz="6" w:val="single"/>
        <w:insideH w:color="000000" w:space="0" w:sz="6" w:val="single"/>
      </w:tblBorders>
      <w:tblLayout w:type="fixed"/>
      <w:tblLook w:val="0600"/>
    </w:tblPr>
    <w:tblGrid>
      <w:gridCol w:w="4514"/>
      <w:gridCol w:w="4558"/>
      <w:tblGridChange w:id="0">
        <w:tblGrid>
          <w:gridCol w:w="4514"/>
          <w:gridCol w:w="4558"/>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0">
          <w:pPr>
            <w:pageBreakBefore w:val="0"/>
            <w:spacing w:line="240" w:lineRule="auto"/>
            <w:rPr>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50801</wp:posOffset>
                </wp:positionH>
                <wp:positionV relativeFrom="paragraph">
                  <wp:posOffset>-45719</wp:posOffset>
                </wp:positionV>
                <wp:extent cx="2515235" cy="273050"/>
                <wp:effectExtent b="0" l="0" r="0" t="0"/>
                <wp:wrapNone/>
                <wp:docPr id="2" name="image2.png"/>
                <a:graphic>
                  <a:graphicData uri="http://schemas.openxmlformats.org/drawingml/2006/picture">
                    <pic:pic>
                      <pic:nvPicPr>
                        <pic:cNvPr id="0" name="image2.png"/>
                        <pic:cNvPicPr preferRelativeResize="0"/>
                      </pic:nvPicPr>
                      <pic:blipFill>
                        <a:blip r:embed="rId1"/>
                        <a:srcRect b="942" l="0" r="0" t="942"/>
                        <a:stretch>
                          <a:fillRect/>
                        </a:stretch>
                      </pic:blipFill>
                      <pic:spPr>
                        <a:xfrm>
                          <a:off x="0" y="0"/>
                          <a:ext cx="2515235" cy="273050"/>
                        </a:xfrm>
                        <a:prstGeom prst="rect"/>
                        <a:ln/>
                      </pic:spPr>
                    </pic:pic>
                  </a:graphicData>
                </a:graphic>
              </wp:anchor>
            </w:drawing>
          </w:r>
        </w:p>
        <w:p w:rsidR="00000000" w:rsidDel="00000000" w:rsidP="00000000" w:rsidRDefault="00000000" w:rsidRPr="00000000" w14:paraId="00000041">
          <w:pPr>
            <w:pageBreakBefore w:val="0"/>
            <w:tabs>
              <w:tab w:val="left" w:leader="none" w:pos="3280"/>
            </w:tabs>
            <w:rPr>
              <w:sz w:val="16"/>
              <w:szCs w:val="16"/>
            </w:rPr>
          </w:pPr>
          <w:r w:rsidDel="00000000" w:rsidR="00000000" w:rsidRPr="00000000">
            <w:rPr>
              <w:sz w:val="16"/>
              <w:szCs w:val="16"/>
              <w:rtl w:val="0"/>
            </w:rPr>
            <w:tab/>
          </w:r>
        </w:p>
      </w:tc>
      <w:tc>
        <w:tcPr>
          <w:tcMar>
            <w:left w:w="0.0" w:type="dxa"/>
            <w:right w:w="0.0" w:type="dxa"/>
          </w:tcMar>
        </w:tcPr>
        <w:p w:rsidR="00000000" w:rsidDel="00000000" w:rsidP="00000000" w:rsidRDefault="00000000" w:rsidRPr="00000000" w14:paraId="00000042">
          <w:pPr>
            <w:pageBreakBefore w:val="0"/>
            <w:jc w:val="right"/>
            <w:rPr>
              <w:sz w:val="16"/>
              <w:szCs w:val="16"/>
            </w:rPr>
          </w:pPr>
          <w:r w:rsidDel="00000000" w:rsidR="00000000" w:rsidRPr="00000000">
            <w:rPr>
              <w:rtl w:val="0"/>
            </w:rPr>
          </w:r>
        </w:p>
        <w:p w:rsidR="00000000" w:rsidDel="00000000" w:rsidP="00000000" w:rsidRDefault="00000000" w:rsidRPr="00000000" w14:paraId="00000043">
          <w:pPr>
            <w:pageBreakBefore w:val="0"/>
            <w:jc w:val="right"/>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4">
    <w:pPr>
      <w:pageBreakBefore w:val="0"/>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300" w:lineRule="auto"/>
    </w:pPr>
    <w:rPr>
      <w:rFonts w:ascii="Calibri" w:hAnsi="Calibri"/>
      <w:sz w:val="22"/>
    </w:rPr>
  </w:style>
  <w:style w:type="paragraph" w:styleId="Heading1">
    <w:name w:val="heading 1"/>
    <w:basedOn w:val="Normal"/>
    <w:next w:val="Normal"/>
    <w:pPr>
      <w:keepNext w:val="1"/>
      <w:keepLines w:val="1"/>
      <w:pageBreakBefore w:val="0"/>
      <w:spacing w:after="120" w:before="400" w:lineRule="auto"/>
    </w:pPr>
    <w:rPr>
      <w:rFonts w:ascii="Calibri" w:hAnsi="Calibri"/>
      <w:b/>
      <w:color w:val="1F1410"/>
      <w:sz w:val="40"/>
      <w:szCs w:val="40"/>
    </w:rPr>
  </w:style>
  <w:style w:type="paragraph" w:styleId="Heading2">
    <w:name w:val="heading 2"/>
    <w:basedOn w:val="Normal"/>
    <w:next w:val="Normal"/>
    <w:pPr>
      <w:keepNext w:val="1"/>
      <w:keepLines w:val="1"/>
      <w:pageBreakBefore w:val="0"/>
      <w:spacing w:after="120" w:before="360" w:lineRule="auto"/>
    </w:pPr>
    <w:rPr>
      <w:rFonts w:ascii="Calibri" w:hAnsi="Calibri"/>
      <w:b/>
      <w:color w:val="1F1410"/>
      <w:sz w:val="28"/>
      <w:szCs w:val="32"/>
    </w:rPr>
  </w:style>
  <w:style w:type="paragraph" w:styleId="Heading3">
    <w:name w:val="heading 3"/>
    <w:basedOn w:val="Normal"/>
    <w:next w:val="Normal"/>
    <w:pPr>
      <w:keepNext w:val="1"/>
      <w:keepLines w:val="1"/>
      <w:pageBreakBefore w:val="0"/>
      <w:spacing w:after="80" w:before="320" w:lineRule="auto"/>
    </w:pPr>
    <w:rPr>
      <w:rFonts w:ascii="Calibri" w:hAnsi="Calibri"/>
      <w:b/>
      <w:bCs w:val="1"/>
      <w:color w:val="1F1410"/>
      <w:sz w:val="24"/>
      <w:szCs w:val="24"/>
    </w:rPr>
  </w:style>
  <w:style w:type="paragraph" w:styleId="Heading4">
    <w:name w:val="heading 4"/>
    <w:basedOn w:val="Normal"/>
    <w:next w:val="Normal"/>
    <w:pPr>
      <w:keepNext w:val="1"/>
      <w:keepLines w:val="1"/>
      <w:pageBreakBefore w:val="0"/>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tudent Name">
    <vt:lpwstr>Student Name</vt:lpwstr>
  </property>
  <property fmtid="{D5CDD505-2E9C-101B-9397-08002B2CF9AE}" pid="3" name="Hand-in Date">
    <vt:lpwstr>Hand-in Date</vt:lpwstr>
  </property>
  <property fmtid="{D5CDD505-2E9C-101B-9397-08002B2CF9AE}" pid="4" name="Title">
    <vt:lpwstr>Title</vt:lpwstr>
  </property>
</Properties>
</file>