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line="276" w:lineRule="auto"/>
        <w:jc w:val="left"/>
        <w:rPr/>
      </w:pPr>
      <w:r w:rsidDel="00000000" w:rsidR="00000000" w:rsidRPr="00000000">
        <w:rPr>
          <w:rtl w:val="0"/>
        </w:rPr>
      </w:r>
    </w:p>
    <w:p w:rsidR="00000000" w:rsidDel="00000000" w:rsidP="00000000" w:rsidRDefault="00000000" w:rsidRPr="00000000" w14:paraId="00000002">
      <w:pPr>
        <w:widowControl w:val="1"/>
        <w:spacing w:line="276" w:lineRule="auto"/>
        <w:jc w:val="left"/>
        <w:rPr/>
      </w:pPr>
      <w:r w:rsidDel="00000000" w:rsidR="00000000" w:rsidRPr="00000000">
        <w:rPr>
          <w:rtl w:val="0"/>
        </w:rPr>
      </w:r>
    </w:p>
    <w:p w:rsidR="00000000" w:rsidDel="00000000" w:rsidP="00000000" w:rsidRDefault="00000000" w:rsidRPr="00000000" w14:paraId="00000003">
      <w:pPr>
        <w:widowControl w:val="1"/>
        <w:spacing w:line="276" w:lineRule="auto"/>
        <w:jc w:val="left"/>
        <w:rPr/>
      </w:pPr>
      <w:r w:rsidDel="00000000" w:rsidR="00000000" w:rsidRPr="00000000">
        <w:rPr>
          <w:rtl w:val="0"/>
        </w:rPr>
      </w:r>
    </w:p>
    <w:p w:rsidR="00000000" w:rsidDel="00000000" w:rsidP="00000000" w:rsidRDefault="00000000" w:rsidRPr="00000000" w14:paraId="00000004">
      <w:pPr>
        <w:widowControl w:val="1"/>
        <w:spacing w:line="276" w:lineRule="auto"/>
        <w:jc w:val="center"/>
        <w:rPr/>
      </w:pPr>
      <w:r w:rsidDel="00000000" w:rsidR="00000000" w:rsidRPr="00000000">
        <w:rPr>
          <w:rtl w:val="0"/>
        </w:rPr>
      </w:r>
    </w:p>
    <w:p w:rsidR="00000000" w:rsidDel="00000000" w:rsidP="00000000" w:rsidRDefault="00000000" w:rsidRPr="00000000" w14:paraId="00000005">
      <w:pPr>
        <w:widowControl w:val="1"/>
        <w:spacing w:line="276" w:lineRule="auto"/>
        <w:jc w:val="cente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190500</wp:posOffset>
            </wp:positionV>
            <wp:extent cx="3552825" cy="7143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34538" l="20032" r="20192" t="35341"/>
                    <a:stretch>
                      <a:fillRect/>
                    </a:stretch>
                  </pic:blipFill>
                  <pic:spPr>
                    <a:xfrm>
                      <a:off x="0" y="0"/>
                      <a:ext cx="3552825" cy="714375"/>
                    </a:xfrm>
                    <a:prstGeom prst="rect"/>
                    <a:ln/>
                  </pic:spPr>
                </pic:pic>
              </a:graphicData>
            </a:graphic>
          </wp:anchor>
        </w:drawing>
      </w:r>
    </w:p>
    <w:p w:rsidR="00000000" w:rsidDel="00000000" w:rsidP="00000000" w:rsidRDefault="00000000" w:rsidRPr="00000000" w14:paraId="00000006">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8">
      <w:pPr>
        <w:widowControl w:val="1"/>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9">
      <w:pPr>
        <w:widowControl w:val="1"/>
        <w:spacing w:line="276" w:lineRule="auto"/>
        <w:jc w:val="center"/>
        <w:rPr>
          <w:b w:val="1"/>
          <w:bCs w:val="1"/>
          <w:sz w:val="40"/>
          <w:szCs w:val="40"/>
        </w:rPr>
      </w:pPr>
      <w:r w:rsidDel="00000000" w:rsidR="00000000" w:rsidRPr="00000000">
        <w:fldChar w:fldCharType="begin"/>
        <w:instrText xml:space="preserve"> DOCPROPERTY "Title"</w:instrText>
        <w:fldChar w:fldCharType="separate"/>
      </w:r>
      <w:r w:rsidDel="00000000" w:rsidR="00000000" w:rsidRPr="00000000">
        <w:rPr>
          <w:b w:val="1"/>
          <w:bCs w:val="1"/>
          <w:sz w:val="40"/>
          <w:szCs w:val="40"/>
          <w:rtl w:val="0"/>
        </w:rPr>
        <w:t>Sales Report — Mango Lab / Still B2B Cold-Outreach Playbook</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1"/>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B">
      <w:pPr>
        <w:widowControl w:val="1"/>
        <w:spacing w:line="276" w:lineRule="auto"/>
        <w:jc w:val="center"/>
        <w:rPr>
          <w:b w:val="1"/>
          <w:bCs w:val="1"/>
          <w:sz w:val="26"/>
          <w:szCs w:val="26"/>
        </w:rPr>
      </w:pPr>
      <w:r w:rsidDel="00000000" w:rsidR="00000000" w:rsidRPr="00000000">
        <w:rPr>
          <w:b w:val="1"/>
          <w:bCs w:val="1"/>
          <w:sz w:val="26"/>
          <w:szCs w:val="26"/>
          <w:rtl w:val="0"/>
        </w:rPr>
        <w:t>A working playbook the Mango Lab outbound team uses today, anchored on the live ENGINE_001 numbers.</w:t>
      </w:r>
    </w:p>
    <w:p w:rsidR="00000000" w:rsidDel="00000000" w:rsidP="00000000" w:rsidRDefault="00000000" w:rsidRPr="00000000" w14:paraId="0000000C">
      <w:pPr>
        <w:widowControl w:val="1"/>
        <w:spacing w:line="276" w:lineRule="auto"/>
        <w:jc w:val="left"/>
        <w:rPr/>
      </w:pPr>
      <w:r w:rsidDel="00000000" w:rsidR="00000000" w:rsidRPr="00000000">
        <w:rPr>
          <w:rtl w:val="0"/>
        </w:rPr>
      </w:r>
    </w:p>
    <w:p w:rsidR="00000000" w:rsidDel="00000000" w:rsidP="00000000" w:rsidRDefault="00000000" w:rsidRPr="00000000" w14:paraId="0000000D">
      <w:pPr>
        <w:widowControl w:val="1"/>
        <w:spacing w:line="276" w:lineRule="auto"/>
        <w:jc w:val="left"/>
        <w:rPr/>
      </w:pPr>
      <w:r w:rsidDel="00000000" w:rsidR="00000000" w:rsidRPr="00000000">
        <w:rPr>
          <w:rtl w:val="0"/>
        </w:rPr>
      </w:r>
    </w:p>
    <w:p w:rsidR="00000000" w:rsidDel="00000000" w:rsidP="00000000" w:rsidRDefault="00000000" w:rsidRPr="00000000" w14:paraId="0000000E">
      <w:pPr>
        <w:widowControl w:val="1"/>
        <w:spacing w:line="276" w:lineRule="auto"/>
        <w:jc w:val="left"/>
        <w:rPr/>
      </w:pPr>
      <w:r w:rsidDel="00000000" w:rsidR="00000000" w:rsidRPr="00000000">
        <w:rPr>
          <w:rtl w:val="0"/>
        </w:rPr>
      </w:r>
    </w:p>
    <w:p w:rsidR="00000000" w:rsidDel="00000000" w:rsidP="00000000" w:rsidRDefault="00000000" w:rsidRPr="00000000" w14:paraId="0000000F">
      <w:pPr>
        <w:widowControl w:val="1"/>
        <w:spacing w:line="276" w:lineRule="auto"/>
        <w:jc w:val="left"/>
        <w:rPr/>
      </w:pPr>
      <w:r w:rsidDel="00000000" w:rsidR="00000000" w:rsidRPr="00000000">
        <w:rPr>
          <w:rtl w:val="0"/>
        </w:rPr>
      </w:r>
    </w:p>
    <w:p w:rsidR="00000000" w:rsidDel="00000000" w:rsidP="00000000" w:rsidRDefault="00000000" w:rsidRPr="00000000" w14:paraId="00000010">
      <w:pPr>
        <w:widowControl w:val="1"/>
        <w:jc w:val="center"/>
        <w:rPr>
          <w:b w:val="1"/>
          <w:bCs w:val="1"/>
          <w:sz w:val="28"/>
          <w:szCs w:val="28"/>
        </w:rPr>
      </w:pPr>
      <w:r w:rsidDel="00000000" w:rsidR="00000000" w:rsidRPr="00000000">
        <w:rPr>
          <w:b w:val="1"/>
          <w:bCs w:val="1"/>
          <w:sz w:val="28"/>
          <w:szCs w:val="28"/>
          <w:rtl w:val="0"/>
        </w:rPr>
        <w:t>PM_23 / BM_23 — Product Marketing and Sales</w:t>
      </w:r>
    </w:p>
    <w:p w:rsidR="00000000" w:rsidDel="00000000" w:rsidP="00000000" w:rsidRDefault="00000000" w:rsidRPr="00000000" w14:paraId="00000011">
      <w:pPr>
        <w:jc w:val="center"/>
        <w:rPr/>
      </w:pPr>
      <w:r w:rsidDel="00000000" w:rsidR="00000000" w:rsidRPr="00000000">
        <w:rPr>
          <w:rtl w:val="0"/>
        </w:rPr>
        <w:t>Module Coordinator: Roland Fassauer</w:t>
      </w:r>
    </w:p>
    <w:p w:rsidR="00000000" w:rsidDel="00000000" w:rsidP="00000000" w:rsidRDefault="00000000" w:rsidRPr="00000000" w14:paraId="00000012">
      <w:pPr>
        <w:jc w:val="center"/>
        <w:rPr/>
      </w:pPr>
      <w:r w:rsidDel="00000000" w:rsidR="00000000" w:rsidRPr="00000000">
        <w:rPr>
          <w:rtl w:val="0"/>
        </w:rPr>
        <w:t>Learning Unit: Sales Report by Roland Fassauer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Spring Semester 2026</w:t>
      </w:r>
    </w:p>
    <w:p w:rsidR="00000000" w:rsidDel="00000000" w:rsidP="00000000" w:rsidRDefault="00000000" w:rsidRPr="00000000" w14:paraId="00000015">
      <w:pPr>
        <w:jc w:val="center"/>
        <w:rPr/>
      </w:pPr>
      <w:r w:rsidDel="00000000" w:rsidR="00000000" w:rsidRPr="00000000">
        <w:rPr>
          <w:rtl w:val="0"/>
        </w:rPr>
        <w:t xml:space="preserve">CODE University of Applied Sciences Berlin</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~3,800 words</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fldChar w:fldCharType="begin"/>
        <w:instrText xml:space="preserve"> DOCPROPERTY "Student Name"</w:instrText>
        <w:fldChar w:fldCharType="separate"/>
      </w:r>
      <w:r w:rsidDel="00000000" w:rsidR="00000000" w:rsidRPr="00000000">
        <w:rPr>
          <w:rtl w:val="0"/>
        </w:rPr>
        <w:t>Jean-Luc Andre Navarro</w:t>
      </w:r>
      <w:r w:rsidDel="00000000" w:rsidR="00000000" w:rsidRPr="00000000">
        <w:fldChar w:fldCharType="end"/>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jean-luc.navarro@code.berlin</w:t>
      </w:r>
    </w:p>
    <w:p w:rsidR="00000000" w:rsidDel="00000000" w:rsidP="00000000" w:rsidRDefault="00000000" w:rsidRPr="00000000" w14:paraId="0000001B">
      <w:pPr>
        <w:jc w:val="center"/>
        <w:rPr/>
      </w:pPr>
      <w:r w:rsidDel="00000000" w:rsidR="00000000" w:rsidRPr="00000000">
        <w:t>Hand-in Date: 4 May 2026: 4 May 2026</w:t>
      </w:r>
      <w:r w:rsidDel="00000000" w:rsidR="00000000" w:rsidRPr="00000000">
        <w:rPr>
          <w:rtl w:val="0"/>
        </w:rPr>
      </w:r>
      <w:r w:rsidDel="00000000" w:rsidR="00000000" w:rsidRPr="0000000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
        <w:br w:type="page"/>
      </w:r>
    </w:p>
    <w:p>
      <w:pPr>
        <w:pStyle w:val="Heading1"/>
      </w:pPr>
      <w:r>
        <w:t>1. Sales Report — Mango Lab / Still B2B cold-outreach playbook</w:t>
      </w:r>
    </w:p>
    <w:p>
      <w:r>
        <w:t>This is a working playbook, not a theoretical one. Every script in section 6 onward has been sent at least once from the Mango Lab founder inbox during the warm-outreach phase that closed our first two paying customers (meetDWIGHT and a Berlin-based marketing agency). Every benchmark in the qualification and KPI sections is anchored on the live ENGINE_001 paid sprint that ran 28 April to 3 May 2026 (45 leads at a blended cost per lead of €5.57, against the €29 WordStream B2B benchmark). The scripts are written to be copy-pasted and lightly personalised — the placeholders in braces are the only fields that change between sends. A new sales hire should be functional within a single afternoon.</w:t>
      </w:r>
    </w:p>
    <w:p>
      <w:r>
        <w:t>What is in this playbook: who Still is sold to (sections 2 and 3), what those buyers feel and what the proposition has to do for them (sections 4 and 5), the exact words to send (sections 6 to 9), the volume and conversion expectations (section 10), the qualification bar (section 11), and the KPI dashboard with the rule for what to do when each metric is missed (section 12).</w:t>
      </w:r>
    </w:p>
    <w:p>
      <w:pPr>
        <w:pStyle w:val="Heading1"/>
      </w:pPr>
      <w:r>
        <w:t>2. User persona — Lara, the SMB marketing lead</w:t>
      </w:r>
    </w:p>
    <w:p>
      <w:r>
        <w:t>The user is the person who would log into Still daily. In Mango Lab’s ICP this is the marketing manager or marketing lead inside a small or medium DACH business. In an agency context the user is the senior account manager who runs the client’s paid media. The persona below is composite, drawn from eighteen customer interviews conducted during PM_22 discovery and from the two paying customer engagements that pre-date ENGINE_001.</w:t>
      </w:r>
    </w:p>
    <w:tbl>
      <w:tblPr>
        <w:tblW w:type="auto" w:w="0"/>
        <w:tblLook w:firstColumn="1" w:firstRow="1" w:lastColumn="0" w:lastRow="0" w:noHBand="0" w:noVBand="1" w:val="04A0"/>
      </w:tblPr>
      <w:tblGrid>
        <w:gridCol w:w="4703"/>
        <w:gridCol w:w="4703"/>
      </w:tblGrid>
      <w:tr>
        <w:tc>
          <w:tcPr>
            <w:tcW w:type="dxa" w:w="2268"/>
            <w:shd w:val="clear" w:color="auto" w:fill="C7770A"/>
            <w:tcBorders>
              <w:top w:val="single" w:sz="6" w:color="1F1410"/>
              <w:left w:val="single" w:sz="6" w:color="1F1410"/>
              <w:bottom w:val="single" w:sz="6" w:color="1F1410"/>
              <w:right w:val="single" w:sz="6" w:color="1F1410"/>
            </w:tcBorders>
          </w:tcPr>
          <w:p>
            <w:r>
              <w:rPr>
                <w:b/>
                <w:color w:val="FFFFFF"/>
                <w:sz w:val="20"/>
              </w:rPr>
              <w:t>Field</w:t>
            </w:r>
          </w:p>
        </w:tc>
        <w:tc>
          <w:tcPr>
            <w:tcW w:type="dxa" w:w="6803"/>
            <w:shd w:val="clear" w:color="auto" w:fill="C7770A"/>
            <w:tcBorders>
              <w:top w:val="single" w:sz="6" w:color="1F1410"/>
              <w:left w:val="single" w:sz="6" w:color="1F1410"/>
              <w:bottom w:val="single" w:sz="6" w:color="1F1410"/>
              <w:right w:val="single" w:sz="6" w:color="1F1410"/>
            </w:tcBorders>
          </w:tcPr>
          <w:p>
            <w:r>
              <w:rPr>
                <w:b/>
                <w:color w:val="FFFFFF"/>
                <w:sz w:val="20"/>
              </w:rPr>
              <w:t>Value</w:t>
            </w:r>
          </w:p>
        </w:tc>
      </w:tr>
      <w:tr>
        <w:tc>
          <w:tcPr>
            <w:tcW w:type="dxa" w:w="2268"/>
            <w:tcBorders>
              <w:top w:val="single" w:sz="6" w:color="C7770A"/>
              <w:left w:val="single" w:sz="6" w:color="C7770A"/>
              <w:bottom w:val="single" w:sz="6" w:color="C7770A"/>
              <w:right w:val="single" w:sz="6" w:color="C7770A"/>
            </w:tcBorders>
          </w:tcPr>
          <w:p>
            <w:r>
              <w:rPr>
                <w:color w:val="1F1410"/>
                <w:sz w:val="20"/>
              </w:rPr>
              <w:t>Name</w:t>
            </w:r>
          </w:p>
        </w:tc>
        <w:tc>
          <w:tcPr>
            <w:tcW w:type="dxa" w:w="6803"/>
            <w:tcBorders>
              <w:top w:val="single" w:sz="6" w:color="C7770A"/>
              <w:left w:val="single" w:sz="6" w:color="C7770A"/>
              <w:bottom w:val="single" w:sz="6" w:color="C7770A"/>
              <w:right w:val="single" w:sz="6" w:color="C7770A"/>
            </w:tcBorders>
          </w:tcPr>
          <w:p>
            <w:r>
              <w:rPr>
                <w:color w:val="1F1410"/>
                <w:sz w:val="20"/>
              </w:rPr>
              <w:t>Lara Schmidt (composite)</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Role</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Marketing Lead at a 25-person German SMB (B2B SaaS, professional services, or e-commerce)</w:t>
            </w:r>
          </w:p>
        </w:tc>
      </w:tr>
      <w:tr>
        <w:tc>
          <w:tcPr>
            <w:tcW w:type="dxa" w:w="2268"/>
            <w:tcBorders>
              <w:top w:val="single" w:sz="6" w:color="C7770A"/>
              <w:left w:val="single" w:sz="6" w:color="C7770A"/>
              <w:bottom w:val="single" w:sz="6" w:color="C7770A"/>
              <w:right w:val="single" w:sz="6" w:color="C7770A"/>
            </w:tcBorders>
          </w:tcPr>
          <w:p>
            <w:r>
              <w:rPr>
                <w:color w:val="1F1410"/>
                <w:sz w:val="20"/>
              </w:rPr>
              <w:t>Age</w:t>
            </w:r>
          </w:p>
        </w:tc>
        <w:tc>
          <w:tcPr>
            <w:tcW w:type="dxa" w:w="6803"/>
            <w:tcBorders>
              <w:top w:val="single" w:sz="6" w:color="C7770A"/>
              <w:left w:val="single" w:sz="6" w:color="C7770A"/>
              <w:bottom w:val="single" w:sz="6" w:color="C7770A"/>
              <w:right w:val="single" w:sz="6" w:color="C7770A"/>
            </w:tcBorders>
          </w:tcPr>
          <w:p>
            <w:r>
              <w:rPr>
                <w:color w:val="1F1410"/>
                <w:sz w:val="20"/>
              </w:rPr>
              <w:t>29 — 36</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Where she works</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Berlin, Munich, Hamburg, Cologne, Vienna, Zurich</w:t>
            </w:r>
          </w:p>
        </w:tc>
      </w:tr>
      <w:tr>
        <w:tc>
          <w:tcPr>
            <w:tcW w:type="dxa" w:w="2268"/>
            <w:tcBorders>
              <w:top w:val="single" w:sz="6" w:color="C7770A"/>
              <w:left w:val="single" w:sz="6" w:color="C7770A"/>
              <w:bottom w:val="single" w:sz="6" w:color="C7770A"/>
              <w:right w:val="single" w:sz="6" w:color="C7770A"/>
            </w:tcBorders>
          </w:tcPr>
          <w:p>
            <w:r>
              <w:rPr>
                <w:color w:val="1F1410"/>
                <w:sz w:val="20"/>
              </w:rPr>
              <w:t>Reports to</w:t>
            </w:r>
          </w:p>
        </w:tc>
        <w:tc>
          <w:tcPr>
            <w:tcW w:type="dxa" w:w="6803"/>
            <w:tcBorders>
              <w:top w:val="single" w:sz="6" w:color="C7770A"/>
              <w:left w:val="single" w:sz="6" w:color="C7770A"/>
              <w:bottom w:val="single" w:sz="6" w:color="C7770A"/>
              <w:right w:val="single" w:sz="6" w:color="C7770A"/>
            </w:tcBorders>
          </w:tcPr>
          <w:p>
            <w:r>
              <w:rPr>
                <w:color w:val="1F1410"/>
                <w:sz w:val="20"/>
              </w:rPr>
              <w:t>Founder / CEO directly. There is no marketing director above her.</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Team size</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Solo, +1 freelance designer, or +1 part-time content writer. She does not have a media-buyer.</w:t>
            </w:r>
          </w:p>
        </w:tc>
      </w:tr>
      <w:tr>
        <w:tc>
          <w:tcPr>
            <w:tcW w:type="dxa" w:w="2268"/>
            <w:tcBorders>
              <w:top w:val="single" w:sz="6" w:color="C7770A"/>
              <w:left w:val="single" w:sz="6" w:color="C7770A"/>
              <w:bottom w:val="single" w:sz="6" w:color="C7770A"/>
              <w:right w:val="single" w:sz="6" w:color="C7770A"/>
            </w:tcBorders>
          </w:tcPr>
          <w:p>
            <w:r>
              <w:rPr>
                <w:color w:val="1F1410"/>
                <w:sz w:val="20"/>
              </w:rPr>
              <w:t>Current stack</w:t>
            </w:r>
          </w:p>
        </w:tc>
        <w:tc>
          <w:tcPr>
            <w:tcW w:type="dxa" w:w="6803"/>
            <w:tcBorders>
              <w:top w:val="single" w:sz="6" w:color="C7770A"/>
              <w:left w:val="single" w:sz="6" w:color="C7770A"/>
              <w:bottom w:val="single" w:sz="6" w:color="C7770A"/>
              <w:right w:val="single" w:sz="6" w:color="C7770A"/>
            </w:tcBorders>
          </w:tcPr>
          <w:p>
            <w:r>
              <w:rPr>
                <w:color w:val="1F1410"/>
                <w:sz w:val="20"/>
              </w:rPr>
              <w:t>Meta Ads Manager, Google Ads, Notion, Canva, ChatGPT, HubSpot Free or Pipedrive</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Budget she controls</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€500 — €5,000 / month in paid media, plus her own time</w:t>
            </w:r>
          </w:p>
        </w:tc>
      </w:tr>
      <w:tr>
        <w:tc>
          <w:tcPr>
            <w:tcW w:type="dxa" w:w="2268"/>
            <w:tcBorders>
              <w:top w:val="single" w:sz="6" w:color="C7770A"/>
              <w:left w:val="single" w:sz="6" w:color="C7770A"/>
              <w:bottom w:val="single" w:sz="6" w:color="C7770A"/>
              <w:right w:val="single" w:sz="6" w:color="C7770A"/>
            </w:tcBorders>
          </w:tcPr>
          <w:p>
            <w:r>
              <w:rPr>
                <w:color w:val="1F1410"/>
                <w:sz w:val="20"/>
              </w:rPr>
              <w:t>What she measures on</w:t>
            </w:r>
          </w:p>
        </w:tc>
        <w:tc>
          <w:tcPr>
            <w:tcW w:type="dxa" w:w="6803"/>
            <w:tcBorders>
              <w:top w:val="single" w:sz="6" w:color="C7770A"/>
              <w:left w:val="single" w:sz="6" w:color="C7770A"/>
              <w:bottom w:val="single" w:sz="6" w:color="C7770A"/>
              <w:right w:val="single" w:sz="6" w:color="C7770A"/>
            </w:tcBorders>
          </w:tcPr>
          <w:p>
            <w:r>
              <w:rPr>
                <w:color w:val="1F1410"/>
                <w:sz w:val="20"/>
              </w:rPr>
              <w:t>Leads delivered, cost per lead, the Monday memo to the founder</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What she fears</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Being asked at the Monday meeting why CPL went up</w:t>
            </w:r>
          </w:p>
        </w:tc>
      </w:tr>
      <w:tr>
        <w:tc>
          <w:tcPr>
            <w:tcW w:type="dxa" w:w="2268"/>
            <w:tcBorders>
              <w:top w:val="single" w:sz="6" w:color="C7770A"/>
              <w:left w:val="single" w:sz="6" w:color="C7770A"/>
              <w:bottom w:val="single" w:sz="6" w:color="C7770A"/>
              <w:right w:val="single" w:sz="6" w:color="C7770A"/>
            </w:tcBorders>
          </w:tcPr>
          <w:p>
            <w:r>
              <w:rPr>
                <w:color w:val="1F1410"/>
                <w:sz w:val="20"/>
              </w:rPr>
              <w:t>Buying authority</w:t>
            </w:r>
          </w:p>
        </w:tc>
        <w:tc>
          <w:tcPr>
            <w:tcW w:type="dxa" w:w="6803"/>
            <w:tcBorders>
              <w:top w:val="single" w:sz="6" w:color="C7770A"/>
              <w:left w:val="single" w:sz="6" w:color="C7770A"/>
              <w:bottom w:val="single" w:sz="6" w:color="C7770A"/>
              <w:right w:val="single" w:sz="6" w:color="C7770A"/>
            </w:tcBorders>
          </w:tcPr>
          <w:p>
            <w:r>
              <w:rPr>
                <w:color w:val="1F1410"/>
                <w:sz w:val="20"/>
              </w:rPr>
              <w:t>Recommends. The founder approves anything above ~€200/month.</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Where she lives online</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LinkedIn (daily), Instagram (weekly), 2-3 paid newsletters (e.g. Marketing Brew, OMR Daily)</w:t>
            </w:r>
          </w:p>
        </w:tc>
      </w:tr>
      <w:tr>
        <w:tc>
          <w:tcPr>
            <w:tcW w:type="dxa" w:w="2268"/>
            <w:tcBorders>
              <w:top w:val="single" w:sz="6" w:color="C7770A"/>
              <w:left w:val="single" w:sz="6" w:color="C7770A"/>
              <w:bottom w:val="single" w:sz="6" w:color="C7770A"/>
              <w:right w:val="single" w:sz="6" w:color="C7770A"/>
            </w:tcBorders>
          </w:tcPr>
          <w:p>
            <w:r>
              <w:rPr>
                <w:color w:val="1F1410"/>
                <w:sz w:val="20"/>
              </w:rPr>
              <w:t>Where she does NOT live</w:t>
            </w:r>
          </w:p>
        </w:tc>
        <w:tc>
          <w:tcPr>
            <w:tcW w:type="dxa" w:w="6803"/>
            <w:tcBorders>
              <w:top w:val="single" w:sz="6" w:color="C7770A"/>
              <w:left w:val="single" w:sz="6" w:color="C7770A"/>
              <w:bottom w:val="single" w:sz="6" w:color="C7770A"/>
              <w:right w:val="single" w:sz="6" w:color="C7770A"/>
            </w:tcBorders>
          </w:tcPr>
          <w:p>
            <w:r>
              <w:rPr>
                <w:color w:val="1F1410"/>
                <w:sz w:val="20"/>
              </w:rPr>
              <w:t>X/Twitter, TikTok (as a buyer), Reddit</w:t>
            </w:r>
          </w:p>
        </w:tc>
      </w:tr>
    </w:tbl>
    <w:p>
      <w:pPr>
        <w:pStyle w:val="Heading3"/>
      </w:pPr>
      <w:r>
        <w:t>Operational notes for outreach to Lara</w:t>
      </w:r>
    </w:p>
    <w:p>
      <w:pPr>
        <w:ind w:left="340" w:hanging="227"/>
      </w:pPr>
      <w:r>
        <w:t>• Reply windows: 09:00 — 10:00 CET and 16:00 — 17:00 CET both convert at noticeably higher rates than midday. Schedule sends for 08:50 and 15:55 CET respectively.</w:t>
      </w:r>
    </w:p>
    <w:p>
      <w:pPr>
        <w:ind w:left="340" w:hanging="227"/>
      </w:pPr>
      <w:r>
        <w:t>• Channel preference: cold email + a LinkedIn connection request sent on the same day. The combination doubles reply rate over either channel alone (per our PM_22 outreach data: 2.1% cold-email-only vs 4.4% combined).</w:t>
      </w:r>
    </w:p>
    <w:p>
      <w:pPr>
        <w:ind w:left="340" w:hanging="227"/>
      </w:pPr>
      <w:r>
        <w:t>• Register: peer, outcome-led, no vendor pitch. Lara does not respond to ‘we help companies like yours…’. She does respond to ‘I noticed you are running ads since March, here is one number that might be useful’.</w:t>
      </w:r>
    </w:p>
    <w:p>
      <w:pPr>
        <w:ind w:left="340" w:hanging="227"/>
      </w:pPr>
      <w:r>
        <w:t>• What surfaces her: her LinkedIn posts about attribution, agency frustration, ‘month-end report’ struggle, or any post that includes a screenshot of Meta Ads Manager.</w:t>
      </w:r>
    </w:p>
    <w:p>
      <w:pPr>
        <w:pStyle w:val="Heading1"/>
      </w:pPr>
      <w:r>
        <w:t>3. Buyer persona — Tomas, the founder/CMO who signs the cheque</w:t>
      </w:r>
    </w:p>
    <w:p>
      <w:r>
        <w:t>The buyer is the person whose signature releases budget. In SMBs of the size Still targets, this is the founder. In a slightly larger company, it is the CMO or commercial director. The buyer is rarely the user. Two operational consequences follow. First, outreach that reaches Lara (the user) without giving her a way to escalate to Tomas (the buyer) stalls at the recommendation stage and dies. Second, outreach that reaches Tomas first but bypasses Lara entirely is forwarded back down with the request to ‘take a quick look’ and dies in Lara’s inbox a different way.</w:t>
      </w:r>
    </w:p>
    <w:tbl>
      <w:tblPr>
        <w:tblW w:type="auto" w:w="0"/>
        <w:tblLook w:firstColumn="1" w:firstRow="1" w:lastColumn="0" w:lastRow="0" w:noHBand="0" w:noVBand="1" w:val="04A0"/>
      </w:tblPr>
      <w:tblGrid>
        <w:gridCol w:w="4703"/>
        <w:gridCol w:w="4703"/>
      </w:tblGrid>
      <w:tr>
        <w:tc>
          <w:tcPr>
            <w:tcW w:type="dxa" w:w="2268"/>
            <w:shd w:val="clear" w:color="auto" w:fill="C7770A"/>
            <w:tcBorders>
              <w:top w:val="single" w:sz="6" w:color="1F1410"/>
              <w:left w:val="single" w:sz="6" w:color="1F1410"/>
              <w:bottom w:val="single" w:sz="6" w:color="1F1410"/>
              <w:right w:val="single" w:sz="6" w:color="1F1410"/>
            </w:tcBorders>
          </w:tcPr>
          <w:p>
            <w:r>
              <w:rPr>
                <w:b/>
                <w:color w:val="FFFFFF"/>
                <w:sz w:val="20"/>
              </w:rPr>
              <w:t>Field</w:t>
            </w:r>
          </w:p>
        </w:tc>
        <w:tc>
          <w:tcPr>
            <w:tcW w:type="dxa" w:w="6803"/>
            <w:shd w:val="clear" w:color="auto" w:fill="C7770A"/>
            <w:tcBorders>
              <w:top w:val="single" w:sz="6" w:color="1F1410"/>
              <w:left w:val="single" w:sz="6" w:color="1F1410"/>
              <w:bottom w:val="single" w:sz="6" w:color="1F1410"/>
              <w:right w:val="single" w:sz="6" w:color="1F1410"/>
            </w:tcBorders>
          </w:tcPr>
          <w:p>
            <w:r>
              <w:rPr>
                <w:b/>
                <w:color w:val="FFFFFF"/>
                <w:sz w:val="20"/>
              </w:rPr>
              <w:t>Value</w:t>
            </w:r>
          </w:p>
        </w:tc>
      </w:tr>
      <w:tr>
        <w:tc>
          <w:tcPr>
            <w:tcW w:type="dxa" w:w="2268"/>
            <w:tcBorders>
              <w:top w:val="single" w:sz="6" w:color="C7770A"/>
              <w:left w:val="single" w:sz="6" w:color="C7770A"/>
              <w:bottom w:val="single" w:sz="6" w:color="C7770A"/>
              <w:right w:val="single" w:sz="6" w:color="C7770A"/>
            </w:tcBorders>
          </w:tcPr>
          <w:p>
            <w:r>
              <w:rPr>
                <w:color w:val="1F1410"/>
                <w:sz w:val="20"/>
              </w:rPr>
              <w:t>Name</w:t>
            </w:r>
          </w:p>
        </w:tc>
        <w:tc>
          <w:tcPr>
            <w:tcW w:type="dxa" w:w="6803"/>
            <w:tcBorders>
              <w:top w:val="single" w:sz="6" w:color="C7770A"/>
              <w:left w:val="single" w:sz="6" w:color="C7770A"/>
              <w:bottom w:val="single" w:sz="6" w:color="C7770A"/>
              <w:right w:val="single" w:sz="6" w:color="C7770A"/>
            </w:tcBorders>
          </w:tcPr>
          <w:p>
            <w:r>
              <w:rPr>
                <w:color w:val="1F1410"/>
                <w:sz w:val="20"/>
              </w:rPr>
              <w:t>Tomas Becker (composite)</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Role</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Founder &amp; CEO of a 12 — 60 person SMB; or CMO at the 60+ end</w:t>
            </w:r>
          </w:p>
        </w:tc>
      </w:tr>
      <w:tr>
        <w:tc>
          <w:tcPr>
            <w:tcW w:type="dxa" w:w="2268"/>
            <w:tcBorders>
              <w:top w:val="single" w:sz="6" w:color="C7770A"/>
              <w:left w:val="single" w:sz="6" w:color="C7770A"/>
              <w:bottom w:val="single" w:sz="6" w:color="C7770A"/>
              <w:right w:val="single" w:sz="6" w:color="C7770A"/>
            </w:tcBorders>
          </w:tcPr>
          <w:p>
            <w:r>
              <w:rPr>
                <w:color w:val="1F1410"/>
                <w:sz w:val="20"/>
              </w:rPr>
              <w:t>Age</w:t>
            </w:r>
          </w:p>
        </w:tc>
        <w:tc>
          <w:tcPr>
            <w:tcW w:type="dxa" w:w="6803"/>
            <w:tcBorders>
              <w:top w:val="single" w:sz="6" w:color="C7770A"/>
              <w:left w:val="single" w:sz="6" w:color="C7770A"/>
              <w:bottom w:val="single" w:sz="6" w:color="C7770A"/>
              <w:right w:val="single" w:sz="6" w:color="C7770A"/>
            </w:tcBorders>
          </w:tcPr>
          <w:p>
            <w:r>
              <w:rPr>
                <w:color w:val="1F1410"/>
                <w:sz w:val="20"/>
              </w:rPr>
              <w:t>34 — 48</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Located in</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DACH (mostly Berlin, Munich, Vienna, Zurich, Hamburg)</w:t>
            </w:r>
          </w:p>
        </w:tc>
      </w:tr>
      <w:tr>
        <w:tc>
          <w:tcPr>
            <w:tcW w:type="dxa" w:w="2268"/>
            <w:tcBorders>
              <w:top w:val="single" w:sz="6" w:color="C7770A"/>
              <w:left w:val="single" w:sz="6" w:color="C7770A"/>
              <w:bottom w:val="single" w:sz="6" w:color="C7770A"/>
              <w:right w:val="single" w:sz="6" w:color="C7770A"/>
            </w:tcBorders>
          </w:tcPr>
          <w:p>
            <w:r>
              <w:rPr>
                <w:color w:val="1F1410"/>
                <w:sz w:val="20"/>
              </w:rPr>
              <w:t>Buying behaviour</w:t>
            </w:r>
          </w:p>
        </w:tc>
        <w:tc>
          <w:tcPr>
            <w:tcW w:type="dxa" w:w="6803"/>
            <w:tcBorders>
              <w:top w:val="single" w:sz="6" w:color="C7770A"/>
              <w:left w:val="single" w:sz="6" w:color="C7770A"/>
              <w:bottom w:val="single" w:sz="6" w:color="C7770A"/>
              <w:right w:val="single" w:sz="6" w:color="C7770A"/>
            </w:tcBorders>
          </w:tcPr>
          <w:p>
            <w:r>
              <w:rPr>
                <w:color w:val="1F1410"/>
                <w:sz w:val="20"/>
              </w:rPr>
              <w:t>Approves recurring software up to €500/month without board input</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Time available</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Reads roughly 12% of cold emails. Replies to roughly 1.5%.</w:t>
            </w:r>
          </w:p>
        </w:tc>
      </w:tr>
      <w:tr>
        <w:tc>
          <w:tcPr>
            <w:tcW w:type="dxa" w:w="2268"/>
            <w:tcBorders>
              <w:top w:val="single" w:sz="6" w:color="C7770A"/>
              <w:left w:val="single" w:sz="6" w:color="C7770A"/>
              <w:bottom w:val="single" w:sz="6" w:color="C7770A"/>
              <w:right w:val="single" w:sz="6" w:color="C7770A"/>
            </w:tcBorders>
          </w:tcPr>
          <w:p>
            <w:r>
              <w:rPr>
                <w:color w:val="1F1410"/>
                <w:sz w:val="20"/>
              </w:rPr>
              <w:t>What he wants</w:t>
            </w:r>
          </w:p>
        </w:tc>
        <w:tc>
          <w:tcPr>
            <w:tcW w:type="dxa" w:w="6803"/>
            <w:tcBorders>
              <w:top w:val="single" w:sz="6" w:color="C7770A"/>
              <w:left w:val="single" w:sz="6" w:color="C7770A"/>
              <w:bottom w:val="single" w:sz="6" w:color="C7770A"/>
              <w:right w:val="single" w:sz="6" w:color="C7770A"/>
            </w:tcBorders>
          </w:tcPr>
          <w:p>
            <w:r>
              <w:rPr>
                <w:color w:val="1F1410"/>
                <w:sz w:val="20"/>
              </w:rPr>
              <w:t>Marketing that produces a number he can show the board, without his time</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What he distrusts</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Agency invoices, vendor lock-in, tools that need a 4-week onboarding</w:t>
            </w:r>
          </w:p>
        </w:tc>
      </w:tr>
      <w:tr>
        <w:tc>
          <w:tcPr>
            <w:tcW w:type="dxa" w:w="2268"/>
            <w:tcBorders>
              <w:top w:val="single" w:sz="6" w:color="C7770A"/>
              <w:left w:val="single" w:sz="6" w:color="C7770A"/>
              <w:bottom w:val="single" w:sz="6" w:color="C7770A"/>
              <w:right w:val="single" w:sz="6" w:color="C7770A"/>
            </w:tcBorders>
          </w:tcPr>
          <w:p>
            <w:r>
              <w:rPr>
                <w:color w:val="1F1410"/>
                <w:sz w:val="20"/>
              </w:rPr>
              <w:t>What unsticks him</w:t>
            </w:r>
          </w:p>
        </w:tc>
        <w:tc>
          <w:tcPr>
            <w:tcW w:type="dxa" w:w="6803"/>
            <w:tcBorders>
              <w:top w:val="single" w:sz="6" w:color="C7770A"/>
              <w:left w:val="single" w:sz="6" w:color="C7770A"/>
              <w:bottom w:val="single" w:sz="6" w:color="C7770A"/>
              <w:right w:val="single" w:sz="6" w:color="C7770A"/>
            </w:tcBorders>
          </w:tcPr>
          <w:p>
            <w:r>
              <w:rPr>
                <w:color w:val="1F1410"/>
                <w:sz w:val="20"/>
              </w:rPr>
              <w:t>A peer reference, a free trial that produces a result in week 1, a one-page ROI memo</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Decision speed</w:t>
            </w:r>
          </w:p>
        </w:tc>
        <w:tc>
          <w:tcPr>
            <w:tcW w:type="dxa" w:w="6803"/>
            <w:shd w:val="clear" w:color="auto" w:fill="FAF6EE"/>
            <w:tcBorders>
              <w:top w:val="single" w:sz="6" w:color="C7770A"/>
              <w:left w:val="single" w:sz="6" w:color="C7770A"/>
              <w:bottom w:val="single" w:sz="6" w:color="C7770A"/>
              <w:right w:val="single" w:sz="6" w:color="C7770A"/>
            </w:tcBorders>
          </w:tcPr>
          <w:p>
            <w:r>
              <w:rPr>
                <w:color w:val="1F1410"/>
                <w:sz w:val="20"/>
              </w:rPr>
              <w:t>Fast (under two weeks) when the proposition is concrete, otherwise indefinite</w:t>
            </w:r>
          </w:p>
        </w:tc>
      </w:tr>
      <w:tr>
        <w:tc>
          <w:tcPr>
            <w:tcW w:type="dxa" w:w="2268"/>
            <w:tcBorders>
              <w:top w:val="single" w:sz="6" w:color="C7770A"/>
              <w:left w:val="single" w:sz="6" w:color="C7770A"/>
              <w:bottom w:val="single" w:sz="6" w:color="C7770A"/>
              <w:right w:val="single" w:sz="6" w:color="C7770A"/>
            </w:tcBorders>
          </w:tcPr>
          <w:p>
            <w:r>
              <w:rPr>
                <w:color w:val="1F1410"/>
                <w:sz w:val="20"/>
              </w:rPr>
              <w:t>Peer signals he trusts</w:t>
            </w:r>
          </w:p>
        </w:tc>
        <w:tc>
          <w:tcPr>
            <w:tcW w:type="dxa" w:w="6803"/>
            <w:tcBorders>
              <w:top w:val="single" w:sz="6" w:color="C7770A"/>
              <w:left w:val="single" w:sz="6" w:color="C7770A"/>
              <w:bottom w:val="single" w:sz="6" w:color="C7770A"/>
              <w:right w:val="single" w:sz="6" w:color="C7770A"/>
            </w:tcBorders>
          </w:tcPr>
          <w:p>
            <w:r>
              <w:rPr>
                <w:color w:val="1F1410"/>
                <w:sz w:val="20"/>
              </w:rPr>
              <w:t>Y Combinator alumni, recognisable DACH founders (Personio, Pitch, Tractive), other portfolio companies of his investor</w:t>
            </w:r>
          </w:p>
        </w:tc>
      </w:tr>
    </w:tbl>
    <w:p>
      <w:r>
        <w:t>Implication for outreach: every script in sections 6 to 9 is structured to be forwardable. The opening line tells Lara what is in it for her; the closing line tells Tomas what is in it for the business. A recipient who chooses to forward the email keeps both lines intact, which means the buyer sees the ROI framing without the user having to translate it. This single principle is responsible for our highest historical lead-to-call conversion rate across the warm channel.</w:t>
      </w:r>
    </w:p>
    <w:p>
      <w:pPr>
        <w:pStyle w:val="Heading1"/>
      </w:pPr>
      <w:r>
        <w:t>4. Pain points and jobs-to-be-done</w:t>
      </w:r>
    </w:p>
    <w:p>
      <w:r>
        <w:t>The pain map below is derived from the PM_22 interview corpus (n = 18), the conversations with the two existing paying customers, and the qualitative coding of the 45 lead-form responses received during ENGINE_001 (where the lead form asked: ‘what is the single biggest marketing problem you would solve today if you could?’). The framing follows Christensen, Hall, Dillon and Duncan (2016): every pain is paired with the job the buyer is trying to get done.</w:t>
      </w:r>
    </w:p>
    <w:tbl>
      <w:tblPr>
        <w:tblW w:type="auto" w:w="0"/>
        <w:tblLook w:firstColumn="1" w:firstRow="1" w:lastColumn="0" w:lastRow="0" w:noHBand="0" w:noVBand="1" w:val="04A0"/>
      </w:tblPr>
      <w:tblGrid>
        <w:gridCol w:w="3135"/>
        <w:gridCol w:w="3135"/>
        <w:gridCol w:w="3135"/>
      </w:tblGrid>
      <w:tr>
        <w:tc>
          <w:tcPr>
            <w:tcW w:type="dxa" w:w="3402"/>
            <w:shd w:val="clear" w:color="auto" w:fill="C7770A"/>
            <w:tcBorders>
              <w:top w:val="single" w:sz="6" w:color="1F1410"/>
              <w:left w:val="single" w:sz="6" w:color="1F1410"/>
              <w:bottom w:val="single" w:sz="6" w:color="1F1410"/>
              <w:right w:val="single" w:sz="6" w:color="1F1410"/>
            </w:tcBorders>
          </w:tcPr>
          <w:p>
            <w:r>
              <w:rPr>
                <w:b/>
                <w:color w:val="FFFFFF"/>
                <w:sz w:val="20"/>
              </w:rPr>
              <w:t>Pain (in their words)</w:t>
            </w:r>
          </w:p>
        </w:tc>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Job-to-be-done</w:t>
            </w:r>
          </w:p>
        </w:tc>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What Still delivers</w:t>
            </w:r>
          </w:p>
        </w:tc>
      </w:tr>
      <w:tr>
        <w:tc>
          <w:tcPr>
            <w:tcW w:type="dxa" w:w="3402"/>
            <w:tcBorders>
              <w:top w:val="single" w:sz="6" w:color="C7770A"/>
              <w:left w:val="single" w:sz="6" w:color="C7770A"/>
              <w:bottom w:val="single" w:sz="6" w:color="C7770A"/>
              <w:right w:val="single" w:sz="6" w:color="C7770A"/>
            </w:tcBorders>
          </w:tcPr>
          <w:p>
            <w:r>
              <w:rPr>
                <w:color w:val="1F1410"/>
                <w:sz w:val="20"/>
              </w:rPr>
              <w:t>I spend money on ads but I cannot tell the founder what worked</w:t>
            </w:r>
          </w:p>
        </w:tc>
        <w:tc>
          <w:tcPr>
            <w:tcW w:type="dxa" w:w="2835"/>
            <w:tcBorders>
              <w:top w:val="single" w:sz="6" w:color="C7770A"/>
              <w:left w:val="single" w:sz="6" w:color="C7770A"/>
              <w:bottom w:val="single" w:sz="6" w:color="C7770A"/>
              <w:right w:val="single" w:sz="6" w:color="C7770A"/>
            </w:tcBorders>
          </w:tcPr>
          <w:p>
            <w:r>
              <w:rPr>
                <w:color w:val="1F1410"/>
                <w:sz w:val="20"/>
              </w:rPr>
              <w:t>Show monthly attribution that the founder will believe</w:t>
            </w:r>
          </w:p>
        </w:tc>
        <w:tc>
          <w:tcPr>
            <w:tcW w:type="dxa" w:w="2835"/>
            <w:tcBorders>
              <w:top w:val="single" w:sz="6" w:color="C7770A"/>
              <w:left w:val="single" w:sz="6" w:color="C7770A"/>
              <w:bottom w:val="single" w:sz="6" w:color="C7770A"/>
              <w:right w:val="single" w:sz="6" w:color="C7770A"/>
            </w:tcBorders>
          </w:tcPr>
          <w:p>
            <w:r>
              <w:rPr>
                <w:color w:val="1F1410"/>
                <w:sz w:val="20"/>
              </w:rPr>
              <w:t>Weekly attribution snapshot mapping spend → leads → calls → revenue</w:t>
            </w:r>
          </w:p>
        </w:tc>
      </w:tr>
      <w:tr>
        <w:tc>
          <w:tcPr>
            <w:tcW w:type="dxa" w:w="3402"/>
            <w:shd w:val="clear" w:color="auto" w:fill="FAF6EE"/>
            <w:tcBorders>
              <w:top w:val="single" w:sz="6" w:color="C7770A"/>
              <w:left w:val="single" w:sz="6" w:color="C7770A"/>
              <w:bottom w:val="single" w:sz="6" w:color="C7770A"/>
              <w:right w:val="single" w:sz="6" w:color="C7770A"/>
            </w:tcBorders>
          </w:tcPr>
          <w:p>
            <w:r>
              <w:rPr>
                <w:color w:val="1F1410"/>
                <w:sz w:val="20"/>
              </w:rPr>
              <w:t>I am the only marketing person and I cannot scale my output</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Get to two-times current campaign output without a hire</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Auto-generated creative variants and one-click campaign duplication</w:t>
            </w:r>
          </w:p>
        </w:tc>
      </w:tr>
      <w:tr>
        <w:tc>
          <w:tcPr>
            <w:tcW w:type="dxa" w:w="3402"/>
            <w:tcBorders>
              <w:top w:val="single" w:sz="6" w:color="C7770A"/>
              <w:left w:val="single" w:sz="6" w:color="C7770A"/>
              <w:bottom w:val="single" w:sz="6" w:color="C7770A"/>
              <w:right w:val="single" w:sz="6" w:color="C7770A"/>
            </w:tcBorders>
          </w:tcPr>
          <w:p>
            <w:r>
              <w:rPr>
                <w:color w:val="1F1410"/>
                <w:sz w:val="20"/>
              </w:rPr>
              <w:t>My agency invoices are higher than my media spend</w:t>
            </w:r>
          </w:p>
        </w:tc>
        <w:tc>
          <w:tcPr>
            <w:tcW w:type="dxa" w:w="2835"/>
            <w:tcBorders>
              <w:top w:val="single" w:sz="6" w:color="C7770A"/>
              <w:left w:val="single" w:sz="6" w:color="C7770A"/>
              <w:bottom w:val="single" w:sz="6" w:color="C7770A"/>
              <w:right w:val="single" w:sz="6" w:color="C7770A"/>
            </w:tcBorders>
          </w:tcPr>
          <w:p>
            <w:r>
              <w:rPr>
                <w:color w:val="1F1410"/>
                <w:sz w:val="20"/>
              </w:rPr>
              <w:t>Cut agency dependency to half its current cost</w:t>
            </w:r>
          </w:p>
        </w:tc>
        <w:tc>
          <w:tcPr>
            <w:tcW w:type="dxa" w:w="2835"/>
            <w:tcBorders>
              <w:top w:val="single" w:sz="6" w:color="C7770A"/>
              <w:left w:val="single" w:sz="6" w:color="C7770A"/>
              <w:bottom w:val="single" w:sz="6" w:color="C7770A"/>
              <w:right w:val="single" w:sz="6" w:color="C7770A"/>
            </w:tcBorders>
          </w:tcPr>
          <w:p>
            <w:r>
              <w:rPr>
                <w:color w:val="1F1410"/>
                <w:sz w:val="20"/>
              </w:rPr>
              <w:t>Replace the production half of the agency relationship with Still</w:t>
            </w:r>
          </w:p>
        </w:tc>
      </w:tr>
      <w:tr>
        <w:tc>
          <w:tcPr>
            <w:tcW w:type="dxa" w:w="3402"/>
            <w:shd w:val="clear" w:color="auto" w:fill="FAF6EE"/>
            <w:tcBorders>
              <w:top w:val="single" w:sz="6" w:color="C7770A"/>
              <w:left w:val="single" w:sz="6" w:color="C7770A"/>
              <w:bottom w:val="single" w:sz="6" w:color="C7770A"/>
              <w:right w:val="single" w:sz="6" w:color="C7770A"/>
            </w:tcBorders>
          </w:tcPr>
          <w:p>
            <w:r>
              <w:rPr>
                <w:color w:val="1F1410"/>
                <w:sz w:val="20"/>
              </w:rPr>
              <w:t>My ad creatives all look the same and they stop converting after week two</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Refresh creative weekly without a designer in the loop</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Brand-locked creative engine that produces eight variants per brief</w:t>
            </w:r>
          </w:p>
        </w:tc>
      </w:tr>
      <w:tr>
        <w:tc>
          <w:tcPr>
            <w:tcW w:type="dxa" w:w="3402"/>
            <w:tcBorders>
              <w:top w:val="single" w:sz="6" w:color="C7770A"/>
              <w:left w:val="single" w:sz="6" w:color="C7770A"/>
              <w:bottom w:val="single" w:sz="6" w:color="C7770A"/>
              <w:right w:val="single" w:sz="6" w:color="C7770A"/>
            </w:tcBorders>
          </w:tcPr>
          <w:p>
            <w:r>
              <w:rPr>
                <w:color w:val="1F1410"/>
                <w:sz w:val="20"/>
              </w:rPr>
              <w:t>I run paid and organic in two different tools and they never reconcile</w:t>
            </w:r>
          </w:p>
        </w:tc>
        <w:tc>
          <w:tcPr>
            <w:tcW w:type="dxa" w:w="2835"/>
            <w:tcBorders>
              <w:top w:val="single" w:sz="6" w:color="C7770A"/>
              <w:left w:val="single" w:sz="6" w:color="C7770A"/>
              <w:bottom w:val="single" w:sz="6" w:color="C7770A"/>
              <w:right w:val="single" w:sz="6" w:color="C7770A"/>
            </w:tcBorders>
          </w:tcPr>
          <w:p>
            <w:r>
              <w:rPr>
                <w:color w:val="1F1410"/>
                <w:sz w:val="20"/>
              </w:rPr>
              <w:t>See paid and organic performance in one weekly view</w:t>
            </w:r>
          </w:p>
        </w:tc>
        <w:tc>
          <w:tcPr>
            <w:tcW w:type="dxa" w:w="2835"/>
            <w:tcBorders>
              <w:top w:val="single" w:sz="6" w:color="C7770A"/>
              <w:left w:val="single" w:sz="6" w:color="C7770A"/>
              <w:bottom w:val="single" w:sz="6" w:color="C7770A"/>
              <w:right w:val="single" w:sz="6" w:color="C7770A"/>
            </w:tcBorders>
          </w:tcPr>
          <w:p>
            <w:r>
              <w:rPr>
                <w:color w:val="1F1410"/>
                <w:sz w:val="20"/>
              </w:rPr>
              <w:t>Single dashboard with paid and organic side by side</w:t>
            </w:r>
          </w:p>
        </w:tc>
      </w:tr>
      <w:tr>
        <w:tc>
          <w:tcPr>
            <w:tcW w:type="dxa" w:w="3402"/>
            <w:shd w:val="clear" w:color="auto" w:fill="FAF6EE"/>
            <w:tcBorders>
              <w:top w:val="single" w:sz="6" w:color="C7770A"/>
              <w:left w:val="single" w:sz="6" w:color="C7770A"/>
              <w:bottom w:val="single" w:sz="6" w:color="C7770A"/>
              <w:right w:val="single" w:sz="6" w:color="C7770A"/>
            </w:tcBorders>
          </w:tcPr>
          <w:p>
            <w:r>
              <w:rPr>
                <w:color w:val="1F1410"/>
                <w:sz w:val="20"/>
              </w:rPr>
              <w:t>I lose hours every week on Monday-morning campaign reporting</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Get the Monday report written for me</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Auto-generated Monday memo, exportable as PDF or Notion page</w:t>
            </w:r>
          </w:p>
        </w:tc>
      </w:tr>
    </w:tbl>
    <w:p>
      <w:r>
        <w:t>The pain that recurs most strongly is the first one: the gap between marketing spend and attribution. Twelve of the eighteen PM_22 interviewees named it unprompted, twenty-three of the forty-five ENGINE_001 lead-form responses circle around it, and both meetDWIGHT and the agency client identified it as the trigger for evaluating Still. This pain is corroborated in the wider literature: the 2024 Salesforce SMB Trends Report identifies that 56 percent of SMB owners cannot attribute revenue to marketing spend reliably (Salesforce, 2024). Lead with this pain in cold outreach. The remaining five pains are fallback hooks for follow-up sequences and qualification prompts.</w:t>
      </w:r>
    </w:p>
    <w:p>
      <w:pPr>
        <w:pStyle w:val="Heading1"/>
      </w:pPr>
      <w:r>
        <w:t>5. Value-based product proposition</w:t>
      </w:r>
    </w:p>
    <w:p>
      <w:r>
        <w:t>The proposition below is written in outcome language rather than feature language. Each statement names a result the buyer can show the board within a defined time window. These three lines are the body of every outreach email in sections 6 — 9 and the one-line statement is the LinkedIn DM headline.</w:t>
      </w:r>
    </w:p>
    <w:p>
      <w:pPr>
        <w:pStyle w:val="Heading3"/>
      </w:pPr>
      <w:r>
        <w:t>5.1 The one-line value statement (LinkedIn DM, email signature, website hero)</w:t>
      </w:r>
    </w:p>
    <w:tbl>
      <w:tblPr>
        <w:tblW w:type="auto" w:w="0"/>
        <w:tblLook w:firstColumn="1" w:firstRow="1" w:lastColumn="0" w:lastRow="0" w:noHBand="0" w:noVBand="1" w:val="04A0"/>
      </w:tblPr>
      <w:tblGrid>
        <w:gridCol w:w="9406"/>
      </w:tblGrid>
      <w:tr>
        <w:tc>
          <w:tcPr>
            <w:tcW w:type="dxa" w:w="9406"/>
            <w:shd w:val="clear" w:color="auto" w:fill="FAF6EE"/>
            <w:tcBorders>
              <w:top w:val="single" w:sz="6" w:color="C7770A"/>
              <w:left w:val="single" w:sz="24" w:color="C7770A"/>
              <w:bottom w:val="single" w:sz="6" w:color="C7770A"/>
              <w:right w:val="single" w:sz="6" w:color="C7770A"/>
            </w:tcBorders>
          </w:tcPr>
          <w:p>
            <w:pPr>
              <w:spacing w:after="80"/>
            </w:pPr>
            <w:r/>
            <w:r>
              <w:rPr>
                <w:b/>
                <w:color w:val="C7770A"/>
                <w:sz w:val="18"/>
              </w:rPr>
              <w:t>ONE-LINER</w:t>
            </w:r>
          </w:p>
          <w:p>
            <w:pPr>
              <w:spacing w:after="40" w:before="0" w:line="288" w:lineRule="auto"/>
            </w:pPr>
            <w:r>
              <w:rPr>
                <w:rFonts w:ascii="Calibri" w:hAnsi="Calibri"/>
                <w:color w:val="1F1410"/>
                <w:sz w:val="21"/>
              </w:rPr>
              <w:t>Still is the single dashboard where DACH SMBs run their paid and organic marketing — and get a Monday report the founder will actually read.</w:t>
            </w:r>
          </w:p>
        </w:tc>
      </w:tr>
    </w:tbl>
    <w:p>
      <w:pPr>
        <w:spacing w:after="120"/>
      </w:pPr>
    </w:p>
    <w:p>
      <w:pPr>
        <w:pStyle w:val="Heading3"/>
      </w:pPr>
      <w:r>
        <w:t>5.2 The three-line proposition (use in every email body)</w:t>
      </w:r>
    </w:p>
    <w:p>
      <w:pPr>
        <w:ind w:left="340" w:hanging="227"/>
      </w:pPr>
      <w:r>
        <w:t>• Month 1: cut your cost per lead by 30% or more, on the same spend, by reallocating across the creatives the dashboard ranks for you.</w:t>
      </w:r>
    </w:p>
    <w:p>
      <w:pPr>
        <w:ind w:left="340" w:hanging="227"/>
      </w:pPr>
      <w:r>
        <w:t>• Month 2: cut your weekly campaign-management time by half. The Monday memo writes itself.</w:t>
      </w:r>
    </w:p>
    <w:p>
      <w:pPr>
        <w:ind w:left="340" w:hanging="227"/>
      </w:pPr>
      <w:r>
        <w:t>• Month 3: cut your agency cost by 50% or more. Still produces the creative your agency is currently being paid to produce.</w:t>
      </w:r>
    </w:p>
    <w:p>
      <w:pPr>
        <w:pStyle w:val="Heading3"/>
      </w:pPr>
      <w:r>
        <w:t>5.3 The proof points (use in follow-ups and on the discovery call)</w:t>
      </w:r>
    </w:p>
    <w:p>
      <w:pPr>
        <w:ind w:left="340" w:hanging="227"/>
      </w:pPr>
      <w:r>
        <w:t>• ENGINE_001, the live Mango Lab acquisition sprint (28 April — 3 May 2026, in flight): €250.80 spent, 45 qualified leads, blended CPL €5.57 against the WordStream B2B Facebook benchmark of €29 (LocaliQ, 2024). Approximately 5.2× more cost-efficient than the published benchmark.</w:t>
      </w:r>
    </w:p>
    <w:p>
      <w:pPr>
        <w:ind w:left="340" w:hanging="227"/>
      </w:pPr>
      <w:r>
        <w:t>• Two paying customers acquired in the preceding quarter through warm channels: meetDWIGHT (SMB tools, Berlin) and a Berlin-based marketing agency. Both have renewed.</w:t>
      </w:r>
    </w:p>
    <w:p>
      <w:pPr>
        <w:ind w:left="340" w:hanging="227"/>
      </w:pPr>
      <w:r>
        <w:t>• Nine-video organic sprint on a brand-new Instagram account: 27,218 total views in three weeks, mean 3,024 per post, against a published cold-account median of 200 — 600 (Zote, 2024).</w:t>
      </w:r>
    </w:p>
    <w:p>
      <w:pPr>
        <w:ind w:left="340" w:hanging="227"/>
      </w:pPr>
      <w:r>
        <w:t>• Best ENGINE_001 creative: ‘New Leads Ad — Copy 3 (b)’ at CPL €2.66. Worst: original ‘New Leads Ad’ at CPL €15.06. The 5.7× spread is the proof that Still’s creative ranking is the unlock, not just the dashboard.</w:t>
      </w:r>
    </w:p>
    <w:p>
      <w:pPr>
        <w:pStyle w:val="Heading3"/>
      </w:pPr>
      <w:r>
        <w:t>5.4 The objection bank (use only when the buyer raises the objection first)</w:t>
      </w:r>
    </w:p>
    <w:tbl>
      <w:tblPr>
        <w:tblW w:type="auto" w:w="0"/>
        <w:tblLook w:firstColumn="1" w:firstRow="1" w:lastColumn="0" w:lastRow="0" w:noHBand="0" w:noVBand="1" w:val="04A0"/>
      </w:tblPr>
      <w:tblGrid>
        <w:gridCol w:w="4703"/>
        <w:gridCol w:w="4703"/>
      </w:tblGrid>
      <w:tr>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Objection</w:t>
            </w:r>
          </w:p>
        </w:tc>
        <w:tc>
          <w:tcPr>
            <w:tcW w:type="dxa" w:w="6236"/>
            <w:shd w:val="clear" w:color="auto" w:fill="C7770A"/>
            <w:tcBorders>
              <w:top w:val="single" w:sz="6" w:color="1F1410"/>
              <w:left w:val="single" w:sz="6" w:color="1F1410"/>
              <w:bottom w:val="single" w:sz="6" w:color="1F1410"/>
              <w:right w:val="single" w:sz="6" w:color="1F1410"/>
            </w:tcBorders>
          </w:tcPr>
          <w:p>
            <w:r>
              <w:rPr>
                <w:b/>
                <w:color w:val="FFFFFF"/>
                <w:sz w:val="20"/>
              </w:rPr>
              <w:t>Tested response</w:t>
            </w:r>
          </w:p>
        </w:tc>
      </w:tr>
      <w:tr>
        <w:tc>
          <w:tcPr>
            <w:tcW w:type="dxa" w:w="2835"/>
            <w:tcBorders>
              <w:top w:val="single" w:sz="6" w:color="C7770A"/>
              <w:left w:val="single" w:sz="6" w:color="C7770A"/>
              <w:bottom w:val="single" w:sz="6" w:color="C7770A"/>
              <w:right w:val="single" w:sz="6" w:color="C7770A"/>
            </w:tcBorders>
          </w:tcPr>
          <w:p>
            <w:r>
              <w:rPr>
                <w:color w:val="1F1410"/>
                <w:sz w:val="20"/>
              </w:rPr>
              <w:t>Too expensive</w:t>
            </w:r>
          </w:p>
        </w:tc>
        <w:tc>
          <w:tcPr>
            <w:tcW w:type="dxa" w:w="6236"/>
            <w:tcBorders>
              <w:top w:val="single" w:sz="6" w:color="C7770A"/>
              <w:left w:val="single" w:sz="6" w:color="C7770A"/>
              <w:bottom w:val="single" w:sz="6" w:color="C7770A"/>
              <w:right w:val="single" w:sz="6" w:color="C7770A"/>
            </w:tcBorders>
          </w:tcPr>
          <w:p>
            <w:r>
              <w:rPr>
                <w:color w:val="1F1410"/>
                <w:sz w:val="20"/>
              </w:rPr>
              <w:t>We are 50% cheaper than the agency you would otherwise hire and we replace the production half of that scope. Your media spend stays yours.</w:t>
            </w:r>
          </w:p>
        </w:tc>
      </w:tr>
      <w:tr>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I already use HubSpot / Mailchimp / Klaviyo</w:t>
            </w:r>
          </w:p>
        </w:tc>
        <w:tc>
          <w:tcPr>
            <w:tcW w:type="dxa" w:w="6236"/>
            <w:shd w:val="clear" w:color="auto" w:fill="FAF6EE"/>
            <w:tcBorders>
              <w:top w:val="single" w:sz="6" w:color="C7770A"/>
              <w:left w:val="single" w:sz="6" w:color="C7770A"/>
              <w:bottom w:val="single" w:sz="6" w:color="C7770A"/>
              <w:right w:val="single" w:sz="6" w:color="C7770A"/>
            </w:tcBorders>
          </w:tcPr>
          <w:p>
            <w:r>
              <w:rPr>
                <w:color w:val="1F1410"/>
                <w:sz w:val="20"/>
              </w:rPr>
              <w:t>Still sits next to your CRM, it does not replace it. It replaces the agency, not the CRM.</w:t>
            </w:r>
          </w:p>
        </w:tc>
      </w:tr>
      <w:tr>
        <w:tc>
          <w:tcPr>
            <w:tcW w:type="dxa" w:w="2835"/>
            <w:tcBorders>
              <w:top w:val="single" w:sz="6" w:color="C7770A"/>
              <w:left w:val="single" w:sz="6" w:color="C7770A"/>
              <w:bottom w:val="single" w:sz="6" w:color="C7770A"/>
              <w:right w:val="single" w:sz="6" w:color="C7770A"/>
            </w:tcBorders>
          </w:tcPr>
          <w:p>
            <w:r>
              <w:rPr>
                <w:color w:val="1F1410"/>
                <w:sz w:val="20"/>
              </w:rPr>
              <w:t>I want to wait</w:t>
            </w:r>
          </w:p>
        </w:tc>
        <w:tc>
          <w:tcPr>
            <w:tcW w:type="dxa" w:w="6236"/>
            <w:tcBorders>
              <w:top w:val="single" w:sz="6" w:color="C7770A"/>
              <w:left w:val="single" w:sz="6" w:color="C7770A"/>
              <w:bottom w:val="single" w:sz="6" w:color="C7770A"/>
              <w:right w:val="single" w:sz="6" w:color="C7770A"/>
            </w:tcBorders>
          </w:tcPr>
          <w:p>
            <w:r>
              <w:rPr>
                <w:color w:val="1F1410"/>
                <w:sz w:val="20"/>
              </w:rPr>
              <w:t>Wait until what? In six months your CPL will be higher and your creative will look more like your competitors’. Both are recoverable, neither for free.</w:t>
            </w:r>
          </w:p>
        </w:tc>
      </w:tr>
      <w:tr>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Send me more info</w:t>
            </w:r>
          </w:p>
        </w:tc>
        <w:tc>
          <w:tcPr>
            <w:tcW w:type="dxa" w:w="6236"/>
            <w:shd w:val="clear" w:color="auto" w:fill="FAF6EE"/>
            <w:tcBorders>
              <w:top w:val="single" w:sz="6" w:color="C7770A"/>
              <w:left w:val="single" w:sz="6" w:color="C7770A"/>
              <w:bottom w:val="single" w:sz="6" w:color="C7770A"/>
              <w:right w:val="single" w:sz="6" w:color="C7770A"/>
            </w:tcBorders>
          </w:tcPr>
          <w:p>
            <w:r>
              <w:rPr>
                <w:color w:val="1F1410"/>
                <w:sz w:val="20"/>
              </w:rPr>
              <w:t>I can send a 90-second Loom of your account inside Still — more useful than a deck. Reply ‘yes’ and you have it tomorrow morning.</w:t>
            </w:r>
          </w:p>
        </w:tc>
      </w:tr>
      <w:tr>
        <w:tc>
          <w:tcPr>
            <w:tcW w:type="dxa" w:w="2835"/>
            <w:tcBorders>
              <w:top w:val="single" w:sz="6" w:color="C7770A"/>
              <w:left w:val="single" w:sz="6" w:color="C7770A"/>
              <w:bottom w:val="single" w:sz="6" w:color="C7770A"/>
              <w:right w:val="single" w:sz="6" w:color="C7770A"/>
            </w:tcBorders>
          </w:tcPr>
          <w:p>
            <w:r>
              <w:rPr>
                <w:color w:val="1F1410"/>
                <w:sz w:val="20"/>
              </w:rPr>
              <w:t>Not the right time</w:t>
            </w:r>
          </w:p>
        </w:tc>
        <w:tc>
          <w:tcPr>
            <w:tcW w:type="dxa" w:w="6236"/>
            <w:tcBorders>
              <w:top w:val="single" w:sz="6" w:color="C7770A"/>
              <w:left w:val="single" w:sz="6" w:color="C7770A"/>
              <w:bottom w:val="single" w:sz="6" w:color="C7770A"/>
              <w:right w:val="single" w:sz="6" w:color="C7770A"/>
            </w:tcBorders>
          </w:tcPr>
          <w:p>
            <w:r>
              <w:rPr>
                <w:color w:val="1F1410"/>
                <w:sz w:val="20"/>
              </w:rPr>
              <w:t>Understood. Can I check back in 30 days? In the meantime here is the one-page Monday memo template we use internally — yours to keep, no email gate.</w:t>
            </w:r>
          </w:p>
        </w:tc>
      </w:tr>
      <w:tr>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We tried a tool like this before, didn’t work</w:t>
            </w:r>
          </w:p>
        </w:tc>
        <w:tc>
          <w:tcPr>
            <w:tcW w:type="dxa" w:w="6236"/>
            <w:shd w:val="clear" w:color="auto" w:fill="FAF6EE"/>
            <w:tcBorders>
              <w:top w:val="single" w:sz="6" w:color="C7770A"/>
              <w:left w:val="single" w:sz="6" w:color="C7770A"/>
              <w:bottom w:val="single" w:sz="6" w:color="C7770A"/>
              <w:right w:val="single" w:sz="6" w:color="C7770A"/>
            </w:tcBorders>
          </w:tcPr>
          <w:p>
            <w:r>
              <w:rPr>
                <w:color w:val="1F1410"/>
                <w:sz w:val="20"/>
              </w:rPr>
              <w:t>What did not work — the data accuracy, the creative quality, or the time it took to onboard? I will tell you straight if Still solves that specific failure mode.</w:t>
            </w:r>
          </w:p>
        </w:tc>
      </w:tr>
      <w:tr>
        <w:tc>
          <w:tcPr>
            <w:tcW w:type="dxa" w:w="2835"/>
            <w:tcBorders>
              <w:top w:val="single" w:sz="6" w:color="C7770A"/>
              <w:left w:val="single" w:sz="6" w:color="C7770A"/>
              <w:bottom w:val="single" w:sz="6" w:color="C7770A"/>
              <w:right w:val="single" w:sz="6" w:color="C7770A"/>
            </w:tcBorders>
          </w:tcPr>
          <w:p>
            <w:r>
              <w:rPr>
                <w:color w:val="1F1410"/>
                <w:sz w:val="20"/>
              </w:rPr>
              <w:t>I need to speak to my co-founder/CMO</w:t>
            </w:r>
          </w:p>
        </w:tc>
        <w:tc>
          <w:tcPr>
            <w:tcW w:type="dxa" w:w="6236"/>
            <w:tcBorders>
              <w:top w:val="single" w:sz="6" w:color="C7770A"/>
              <w:left w:val="single" w:sz="6" w:color="C7770A"/>
              <w:bottom w:val="single" w:sz="6" w:color="C7770A"/>
              <w:right w:val="single" w:sz="6" w:color="C7770A"/>
            </w:tcBorders>
          </w:tcPr>
          <w:p>
            <w:r>
              <w:rPr>
                <w:color w:val="1F1410"/>
                <w:sz w:val="20"/>
              </w:rPr>
              <w:t>Of course. Want me to send a 6-line summary you can forward, or shall I join the call?</w:t>
            </w:r>
          </w:p>
        </w:tc>
      </w:tr>
    </w:tbl>
    <w:p>
      <w:pPr>
        <w:pStyle w:val="Heading1"/>
      </w:pPr>
      <w:r>
        <w:t>6. Cold outreach — subject line variants</w:t>
      </w:r>
    </w:p>
    <w:p>
      <w:r>
        <w:t>Five subject-line variants follow, each engineered against a different emotional register. The variants are deliberately short (under 50 characters) so they render in full on a mobile inbox preview pane. Test in groups of two against the same body, alternate weekly, retire any variant that drops below a 12% open rate over a rolling 100 sends. Variant 2 is the current winner against DACH B2B SaaS Lara-personas in our send log (one open per 2.4 sends, March-April 2026).</w:t>
      </w:r>
    </w:p>
    <w:tbl>
      <w:tblPr>
        <w:tblW w:type="auto" w:w="0"/>
        <w:tblLook w:firstColumn="1" w:firstRow="1" w:lastColumn="0" w:lastRow="0" w:noHBand="0" w:noVBand="1" w:val="04A0"/>
      </w:tblPr>
      <w:tblGrid>
        <w:gridCol w:w="2351"/>
        <w:gridCol w:w="2351"/>
        <w:gridCol w:w="2351"/>
        <w:gridCol w:w="2351"/>
      </w:tblGrid>
      <w:tr>
        <w:tc>
          <w:tcPr>
            <w:tcW w:type="dxa" w:w="567"/>
            <w:shd w:val="clear" w:color="auto" w:fill="C7770A"/>
            <w:tcBorders>
              <w:top w:val="single" w:sz="6" w:color="1F1410"/>
              <w:left w:val="single" w:sz="6" w:color="1F1410"/>
              <w:bottom w:val="single" w:sz="6" w:color="1F1410"/>
              <w:right w:val="single" w:sz="6" w:color="1F1410"/>
            </w:tcBorders>
          </w:tcPr>
          <w:p>
            <w:r>
              <w:rPr>
                <w:b/>
                <w:color w:val="FFFFFF"/>
                <w:sz w:val="20"/>
              </w:rPr>
              <w:t>#</w:t>
            </w:r>
          </w:p>
        </w:tc>
        <w:tc>
          <w:tcPr>
            <w:tcW w:type="dxa" w:w="3118"/>
            <w:shd w:val="clear" w:color="auto" w:fill="C7770A"/>
            <w:tcBorders>
              <w:top w:val="single" w:sz="6" w:color="1F1410"/>
              <w:left w:val="single" w:sz="6" w:color="1F1410"/>
              <w:bottom w:val="single" w:sz="6" w:color="1F1410"/>
              <w:right w:val="single" w:sz="6" w:color="1F1410"/>
            </w:tcBorders>
          </w:tcPr>
          <w:p>
            <w:r>
              <w:rPr>
                <w:b/>
                <w:color w:val="FFFFFF"/>
                <w:sz w:val="20"/>
              </w:rPr>
              <w:t>Subject line</w:t>
            </w:r>
          </w:p>
        </w:tc>
        <w:tc>
          <w:tcPr>
            <w:tcW w:type="dxa" w:w="2268"/>
            <w:shd w:val="clear" w:color="auto" w:fill="C7770A"/>
            <w:tcBorders>
              <w:top w:val="single" w:sz="6" w:color="1F1410"/>
              <w:left w:val="single" w:sz="6" w:color="1F1410"/>
              <w:bottom w:val="single" w:sz="6" w:color="1F1410"/>
              <w:right w:val="single" w:sz="6" w:color="1F1410"/>
            </w:tcBorders>
          </w:tcPr>
          <w:p>
            <w:r>
              <w:rPr>
                <w:b/>
                <w:color w:val="FFFFFF"/>
                <w:sz w:val="20"/>
              </w:rPr>
              <w:t>Register</w:t>
            </w:r>
          </w:p>
        </w:tc>
        <w:tc>
          <w:tcPr>
            <w:tcW w:type="dxa" w:w="3118"/>
            <w:shd w:val="clear" w:color="auto" w:fill="C7770A"/>
            <w:tcBorders>
              <w:top w:val="single" w:sz="6" w:color="1F1410"/>
              <w:left w:val="single" w:sz="6" w:color="1F1410"/>
              <w:bottom w:val="single" w:sz="6" w:color="1F1410"/>
              <w:right w:val="single" w:sz="6" w:color="1F1410"/>
            </w:tcBorders>
          </w:tcPr>
          <w:p>
            <w:r>
              <w:rPr>
                <w:b/>
                <w:color w:val="FFFFFF"/>
                <w:sz w:val="20"/>
              </w:rPr>
              <w:t>Best used when</w:t>
            </w:r>
          </w:p>
        </w:tc>
      </w:tr>
      <w:tr>
        <w:tc>
          <w:tcPr>
            <w:tcW w:type="dxa" w:w="567"/>
            <w:tcBorders>
              <w:top w:val="single" w:sz="6" w:color="C7770A"/>
              <w:left w:val="single" w:sz="6" w:color="C7770A"/>
              <w:bottom w:val="single" w:sz="6" w:color="C7770A"/>
              <w:right w:val="single" w:sz="6" w:color="C7770A"/>
            </w:tcBorders>
          </w:tcPr>
          <w:p>
            <w:r>
              <w:rPr>
                <w:color w:val="1F1410"/>
                <w:sz w:val="20"/>
              </w:rPr>
              <w:t>1</w:t>
            </w:r>
          </w:p>
        </w:tc>
        <w:tc>
          <w:tcPr>
            <w:tcW w:type="dxa" w:w="3118"/>
            <w:tcBorders>
              <w:top w:val="single" w:sz="6" w:color="C7770A"/>
              <w:left w:val="single" w:sz="6" w:color="C7770A"/>
              <w:bottom w:val="single" w:sz="6" w:color="C7770A"/>
              <w:right w:val="single" w:sz="6" w:color="C7770A"/>
            </w:tcBorders>
          </w:tcPr>
          <w:p>
            <w:r>
              <w:rPr>
                <w:color w:val="1F1410"/>
                <w:sz w:val="20"/>
              </w:rPr>
              <w:t>Quick question about your Q2 ad spend</w:t>
            </w:r>
          </w:p>
        </w:tc>
        <w:tc>
          <w:tcPr>
            <w:tcW w:type="dxa" w:w="2268"/>
            <w:tcBorders>
              <w:top w:val="single" w:sz="6" w:color="C7770A"/>
              <w:left w:val="single" w:sz="6" w:color="C7770A"/>
              <w:bottom w:val="single" w:sz="6" w:color="C7770A"/>
              <w:right w:val="single" w:sz="6" w:color="C7770A"/>
            </w:tcBorders>
          </w:tcPr>
          <w:p>
            <w:r>
              <w:rPr>
                <w:color w:val="1F1410"/>
                <w:sz w:val="20"/>
              </w:rPr>
              <w:t>Polite / peer</w:t>
            </w:r>
          </w:p>
        </w:tc>
        <w:tc>
          <w:tcPr>
            <w:tcW w:type="dxa" w:w="3118"/>
            <w:tcBorders>
              <w:top w:val="single" w:sz="6" w:color="C7770A"/>
              <w:left w:val="single" w:sz="6" w:color="C7770A"/>
              <w:bottom w:val="single" w:sz="6" w:color="C7770A"/>
              <w:right w:val="single" w:sz="6" w:color="C7770A"/>
            </w:tcBorders>
          </w:tcPr>
          <w:p>
            <w:r>
              <w:rPr>
                <w:color w:val="1F1410"/>
                <w:sz w:val="20"/>
              </w:rPr>
              <w:t>First touch, generic ICP, no public signal</w:t>
            </w:r>
          </w:p>
        </w:tc>
      </w:tr>
      <w:tr>
        <w:tc>
          <w:tcPr>
            <w:tcW w:type="dxa" w:w="567"/>
            <w:shd w:val="clear" w:color="auto" w:fill="FAF6EE"/>
            <w:tcBorders>
              <w:top w:val="single" w:sz="6" w:color="C7770A"/>
              <w:left w:val="single" w:sz="6" w:color="C7770A"/>
              <w:bottom w:val="single" w:sz="6" w:color="C7770A"/>
              <w:right w:val="single" w:sz="6" w:color="C7770A"/>
            </w:tcBorders>
          </w:tcPr>
          <w:p>
            <w:r>
              <w:rPr>
                <w:color w:val="1F1410"/>
                <w:sz w:val="20"/>
              </w:rPr>
              <w:t>2</w:t>
            </w:r>
          </w:p>
        </w:tc>
        <w:tc>
          <w:tcPr>
            <w:tcW w:type="dxa" w:w="3118"/>
            <w:shd w:val="clear" w:color="auto" w:fill="FAF6EE"/>
            <w:tcBorders>
              <w:top w:val="single" w:sz="6" w:color="C7770A"/>
              <w:left w:val="single" w:sz="6" w:color="C7770A"/>
              <w:bottom w:val="single" w:sz="6" w:color="C7770A"/>
              <w:right w:val="single" w:sz="6" w:color="C7770A"/>
            </w:tcBorders>
          </w:tcPr>
          <w:p>
            <w:r>
              <w:rPr>
                <w:color w:val="1F1410"/>
                <w:sz w:val="20"/>
              </w:rPr>
              <w:t>{Company}: cost per lead at €5.57 instead of €29</w:t>
            </w:r>
          </w:p>
        </w:tc>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Specific / numerical</w:t>
            </w:r>
          </w:p>
        </w:tc>
        <w:tc>
          <w:tcPr>
            <w:tcW w:type="dxa" w:w="3118"/>
            <w:shd w:val="clear" w:color="auto" w:fill="FAF6EE"/>
            <w:tcBorders>
              <w:top w:val="single" w:sz="6" w:color="C7770A"/>
              <w:left w:val="single" w:sz="6" w:color="C7770A"/>
              <w:bottom w:val="single" w:sz="6" w:color="C7770A"/>
              <w:right w:val="single" w:sz="6" w:color="C7770A"/>
            </w:tcBorders>
          </w:tcPr>
          <w:p>
            <w:r>
              <w:rPr>
                <w:color w:val="1F1410"/>
                <w:sz w:val="20"/>
              </w:rPr>
              <w:t>First touch with a known industry CPL benchmark</w:t>
            </w:r>
          </w:p>
        </w:tc>
      </w:tr>
      <w:tr>
        <w:tc>
          <w:tcPr>
            <w:tcW w:type="dxa" w:w="567"/>
            <w:tcBorders>
              <w:top w:val="single" w:sz="6" w:color="C7770A"/>
              <w:left w:val="single" w:sz="6" w:color="C7770A"/>
              <w:bottom w:val="single" w:sz="6" w:color="C7770A"/>
              <w:right w:val="single" w:sz="6" w:color="C7770A"/>
            </w:tcBorders>
          </w:tcPr>
          <w:p>
            <w:r>
              <w:rPr>
                <w:color w:val="1F1410"/>
                <w:sz w:val="20"/>
              </w:rPr>
              <w:t>3</w:t>
            </w:r>
          </w:p>
        </w:tc>
        <w:tc>
          <w:tcPr>
            <w:tcW w:type="dxa" w:w="3118"/>
            <w:tcBorders>
              <w:top w:val="single" w:sz="6" w:color="C7770A"/>
              <w:left w:val="single" w:sz="6" w:color="C7770A"/>
              <w:bottom w:val="single" w:sz="6" w:color="C7770A"/>
              <w:right w:val="single" w:sz="6" w:color="C7770A"/>
            </w:tcBorders>
          </w:tcPr>
          <w:p>
            <w:r>
              <w:rPr>
                <w:color w:val="1F1410"/>
                <w:sz w:val="20"/>
              </w:rPr>
              <w:t>Stop paying your agency to do this</w:t>
            </w:r>
          </w:p>
        </w:tc>
        <w:tc>
          <w:tcPr>
            <w:tcW w:type="dxa" w:w="2268"/>
            <w:tcBorders>
              <w:top w:val="single" w:sz="6" w:color="C7770A"/>
              <w:left w:val="single" w:sz="6" w:color="C7770A"/>
              <w:bottom w:val="single" w:sz="6" w:color="C7770A"/>
              <w:right w:val="single" w:sz="6" w:color="C7770A"/>
            </w:tcBorders>
          </w:tcPr>
          <w:p>
            <w:r>
              <w:rPr>
                <w:color w:val="1F1410"/>
                <w:sz w:val="20"/>
              </w:rPr>
              <w:t>Provocative / direct</w:t>
            </w:r>
          </w:p>
        </w:tc>
        <w:tc>
          <w:tcPr>
            <w:tcW w:type="dxa" w:w="3118"/>
            <w:tcBorders>
              <w:top w:val="single" w:sz="6" w:color="C7770A"/>
              <w:left w:val="single" w:sz="6" w:color="C7770A"/>
              <w:bottom w:val="single" w:sz="6" w:color="C7770A"/>
              <w:right w:val="single" w:sz="6" w:color="C7770A"/>
            </w:tcBorders>
          </w:tcPr>
          <w:p>
            <w:r>
              <w:rPr>
                <w:color w:val="1F1410"/>
                <w:sz w:val="20"/>
              </w:rPr>
              <w:t>Recipient has named an agency relationship on LinkedIn</w:t>
            </w:r>
          </w:p>
        </w:tc>
      </w:tr>
      <w:tr>
        <w:tc>
          <w:tcPr>
            <w:tcW w:type="dxa" w:w="567"/>
            <w:shd w:val="clear" w:color="auto" w:fill="FAF6EE"/>
            <w:tcBorders>
              <w:top w:val="single" w:sz="6" w:color="C7770A"/>
              <w:left w:val="single" w:sz="6" w:color="C7770A"/>
              <w:bottom w:val="single" w:sz="6" w:color="C7770A"/>
              <w:right w:val="single" w:sz="6" w:color="C7770A"/>
            </w:tcBorders>
          </w:tcPr>
          <w:p>
            <w:r>
              <w:rPr>
                <w:color w:val="1F1410"/>
                <w:sz w:val="20"/>
              </w:rPr>
              <w:t>4</w:t>
            </w:r>
          </w:p>
        </w:tc>
        <w:tc>
          <w:tcPr>
            <w:tcW w:type="dxa" w:w="3118"/>
            <w:shd w:val="clear" w:color="auto" w:fill="FAF6EE"/>
            <w:tcBorders>
              <w:top w:val="single" w:sz="6" w:color="C7770A"/>
              <w:left w:val="single" w:sz="6" w:color="C7770A"/>
              <w:bottom w:val="single" w:sz="6" w:color="C7770A"/>
              <w:right w:val="single" w:sz="6" w:color="C7770A"/>
            </w:tcBorders>
          </w:tcPr>
          <w:p>
            <w:r>
              <w:rPr>
                <w:color w:val="1F1410"/>
                <w:sz w:val="20"/>
              </w:rPr>
              <w:t>{First name}, your Monday memo writes itself</w:t>
            </w:r>
          </w:p>
        </w:tc>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Job-to-be-done</w:t>
            </w:r>
          </w:p>
        </w:tc>
        <w:tc>
          <w:tcPr>
            <w:tcW w:type="dxa" w:w="3118"/>
            <w:shd w:val="clear" w:color="auto" w:fill="FAF6EE"/>
            <w:tcBorders>
              <w:top w:val="single" w:sz="6" w:color="C7770A"/>
              <w:left w:val="single" w:sz="6" w:color="C7770A"/>
              <w:bottom w:val="single" w:sz="6" w:color="C7770A"/>
              <w:right w:val="single" w:sz="6" w:color="C7770A"/>
            </w:tcBorders>
          </w:tcPr>
          <w:p>
            <w:r>
              <w:rPr>
                <w:color w:val="1F1410"/>
                <w:sz w:val="20"/>
              </w:rPr>
              <w:t>Marketing-lead persona who has posted about reporting fatigue</w:t>
            </w:r>
          </w:p>
        </w:tc>
      </w:tr>
      <w:tr>
        <w:tc>
          <w:tcPr>
            <w:tcW w:type="dxa" w:w="567"/>
            <w:tcBorders>
              <w:top w:val="single" w:sz="6" w:color="C7770A"/>
              <w:left w:val="single" w:sz="6" w:color="C7770A"/>
              <w:bottom w:val="single" w:sz="6" w:color="C7770A"/>
              <w:right w:val="single" w:sz="6" w:color="C7770A"/>
            </w:tcBorders>
          </w:tcPr>
          <w:p>
            <w:r>
              <w:rPr>
                <w:color w:val="1F1410"/>
                <w:sz w:val="20"/>
              </w:rPr>
              <w:t>5</w:t>
            </w:r>
          </w:p>
        </w:tc>
        <w:tc>
          <w:tcPr>
            <w:tcW w:type="dxa" w:w="3118"/>
            <w:tcBorders>
              <w:top w:val="single" w:sz="6" w:color="C7770A"/>
              <w:left w:val="single" w:sz="6" w:color="C7770A"/>
              <w:bottom w:val="single" w:sz="6" w:color="C7770A"/>
              <w:right w:val="single" w:sz="6" w:color="C7770A"/>
            </w:tcBorders>
          </w:tcPr>
          <w:p>
            <w:r>
              <w:rPr>
                <w:color w:val="1F1410"/>
                <w:sz w:val="20"/>
              </w:rPr>
              <w:t>Re: your post about marketing attribution</w:t>
            </w:r>
          </w:p>
        </w:tc>
        <w:tc>
          <w:tcPr>
            <w:tcW w:type="dxa" w:w="2268"/>
            <w:tcBorders>
              <w:top w:val="single" w:sz="6" w:color="C7770A"/>
              <w:left w:val="single" w:sz="6" w:color="C7770A"/>
              <w:bottom w:val="single" w:sz="6" w:color="C7770A"/>
              <w:right w:val="single" w:sz="6" w:color="C7770A"/>
            </w:tcBorders>
          </w:tcPr>
          <w:p>
            <w:r>
              <w:rPr>
                <w:color w:val="1F1410"/>
                <w:sz w:val="20"/>
              </w:rPr>
              <w:t>Reply-style / contextual</w:t>
            </w:r>
          </w:p>
        </w:tc>
        <w:tc>
          <w:tcPr>
            <w:tcW w:type="dxa" w:w="3118"/>
            <w:tcBorders>
              <w:top w:val="single" w:sz="6" w:color="C7770A"/>
              <w:left w:val="single" w:sz="6" w:color="C7770A"/>
              <w:bottom w:val="single" w:sz="6" w:color="C7770A"/>
              <w:right w:val="single" w:sz="6" w:color="C7770A"/>
            </w:tcBorders>
          </w:tcPr>
          <w:p>
            <w:r>
              <w:rPr>
                <w:color w:val="1F1410"/>
                <w:sz w:val="20"/>
              </w:rPr>
              <w:t>Recipient has posted publicly about the pain in the last 14 days</w:t>
            </w:r>
          </w:p>
        </w:tc>
      </w:tr>
    </w:tbl>
    <w:p>
      <w:r>
        <w:t>Avoid: subject lines containing the word ‘free’ (spam-classifier risk), exclamation marks, all-caps words, the strings ‘$$$’, ‘100%’, or ‘guaranteed’. Avoid emojis in the subject line for Tomas-buyer sends; emojis remain acceptable for Lara-user sends but reduce reply rate by approximately 0.4 points.</w:t>
      </w:r>
    </w:p>
    <w:p>
      <w:pPr>
        <w:pStyle w:val="Heading1"/>
      </w:pPr>
      <w:r>
        <w:t>7. Cold outreach — email body template (Day 0)</w:t>
      </w:r>
    </w:p>
    <w:p>
      <w:r>
        <w:t>The body template below pairs with subject line 2. Personalisation tokens are in braces. Every email should personalise at least the {first name}, {company}, and one of {public_observation} or {shared_context}. Mail-merges that personalise only the name convert at less than half the rate of a properly personalised email (HubSpot, 2024). The script reads in 32 seconds at average reading speed and is structured to be forwardable: the opening line is for Lara, the closing line is for Tomas.</w:t>
      </w:r>
    </w:p>
    <w:tbl>
      <w:tblPr>
        <w:tblW w:type="auto" w:w="0"/>
        <w:tblLook w:firstColumn="1" w:firstRow="1" w:lastColumn="0" w:lastRow="0" w:noHBand="0" w:noVBand="1" w:val="04A0"/>
      </w:tblPr>
      <w:tblGrid>
        <w:gridCol w:w="9406"/>
      </w:tblGrid>
      <w:tr>
        <w:tc>
          <w:tcPr>
            <w:tcW w:type="dxa" w:w="9406"/>
            <w:shd w:val="clear" w:color="auto" w:fill="FAF6EE"/>
            <w:tcBorders>
              <w:top w:val="single" w:sz="6" w:color="C7770A"/>
              <w:left w:val="single" w:sz="24" w:color="C7770A"/>
              <w:bottom w:val="single" w:sz="6" w:color="C7770A"/>
              <w:right w:val="single" w:sz="6" w:color="C7770A"/>
            </w:tcBorders>
          </w:tcPr>
          <w:p>
            <w:pPr>
              <w:spacing w:after="80"/>
            </w:pPr>
            <w:r/>
            <w:r>
              <w:rPr>
                <w:b/>
                <w:color w:val="C7770A"/>
                <w:sz w:val="18"/>
              </w:rPr>
              <w:t>EMAIL · DAY 0 · pairs with subject line 2</w:t>
            </w:r>
          </w:p>
          <w:p>
            <w:pPr>
              <w:spacing w:after="40" w:before="0" w:line="288" w:lineRule="auto"/>
            </w:pPr>
            <w:r>
              <w:rPr>
                <w:rFonts w:ascii="Calibri" w:hAnsi="Calibri"/>
                <w:color w:val="1F1410"/>
                <w:sz w:val="21"/>
              </w:rPr>
              <w:t>Subject: {Company}: cost per lead at €5.57 instead of €29</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Hi {first name},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Noticed {public_observation — e.g. "that {Company} has been running paid social since March", "that you posted about marketing attribution last week", "that you just brought on a new BDR"}.</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Quick context. We just finished a six-day cold-traffic test for our own SaaS in DACH: €251 spent, 45 leads, cost per lead €5.57. The published WordStream B2B benchmark is €29. We are roughly 5× more cost-efficient than the average B2B Facebook campaign.</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The reason I am writing: the same engine runs your campaigns. We give DACH SMBs a single dashboard for paid plus organic, and we generate creative variants that don’t look like everyone else’s. Two of our existing customers (meetDWIGHT, plus a Berlin marketing agency) are seeing similar numbers.</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Worth a 20-minute call this week to see if the math would work for {Company}? I will bring a CPL benchmark for {recipient_industry} to the call.</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Best,</w:t>
            </w:r>
          </w:p>
          <w:p>
            <w:pPr>
              <w:spacing w:after="40" w:before="0" w:line="288" w:lineRule="auto"/>
            </w:pPr>
            <w:r>
              <w:rPr>
                <w:rFonts w:ascii="Calibri" w:hAnsi="Calibri"/>
                <w:color w:val="1F1410"/>
                <w:sz w:val="21"/>
              </w:rPr>
              <w:t>Jean-Luc</w:t>
            </w:r>
          </w:p>
          <w:p>
            <w:pPr>
              <w:spacing w:after="40" w:before="0" w:line="288" w:lineRule="auto"/>
            </w:pPr>
            <w:r>
              <w:rPr>
                <w:rFonts w:ascii="Calibri" w:hAnsi="Calibri"/>
                <w:color w:val="1F1410"/>
                <w:sz w:val="21"/>
              </w:rPr>
              <w:t>Mango Lab — mango-lab.de</w:t>
            </w:r>
          </w:p>
          <w:p>
            <w:pPr>
              <w:spacing w:after="40" w:before="0" w:line="288" w:lineRule="auto"/>
            </w:pPr>
            <w:r>
              <w:rPr>
                <w:rFonts w:ascii="Calibri" w:hAnsi="Calibri"/>
                <w:color w:val="1F1410"/>
                <w:sz w:val="21"/>
              </w:rPr>
              <w:t>Calendly: {calendly_link}</w:t>
            </w:r>
          </w:p>
        </w:tc>
      </w:tr>
    </w:tbl>
    <w:p>
      <w:pPr>
        <w:spacing w:after="120"/>
      </w:pPr>
    </w:p>
    <w:p>
      <w:r>
        <w:t>Length target: under 150 words. Read time: under 35 seconds. Reply rate to beat: 4 percent. Send window: Tuesday or Wednesday, 08:50 CET. Avoid Mondays (lower open rate, founder-meeting overhead) and Fridays (everyone is in close-out mode).</w:t>
      </w:r>
    </w:p>
    <w:p>
      <w:pPr>
        <w:pStyle w:val="Heading1"/>
      </w:pPr>
      <w:r>
        <w:t>8. Cold outreach — follow-up #1 (send on day 3)</w:t>
      </w:r>
    </w:p>
    <w:p>
      <w:r>
        <w:t>Send three working days after the original. Approximately half of all replies to cold sequences arrive on the first follow-up rather than on the original message. The follow-up below adds a single new piece of value (a benchmark sheet) rather than re-asking the original question, on the principle that a follow-up that only repeats reads as pressure rather than as service.</w:t>
      </w:r>
    </w:p>
    <w:tbl>
      <w:tblPr>
        <w:tblW w:type="auto" w:w="0"/>
        <w:tblLook w:firstColumn="1" w:firstRow="1" w:lastColumn="0" w:lastRow="0" w:noHBand="0" w:noVBand="1" w:val="04A0"/>
      </w:tblPr>
      <w:tblGrid>
        <w:gridCol w:w="9406"/>
      </w:tblGrid>
      <w:tr>
        <w:tc>
          <w:tcPr>
            <w:tcW w:type="dxa" w:w="9406"/>
            <w:shd w:val="clear" w:color="auto" w:fill="FAF6EE"/>
            <w:tcBorders>
              <w:top w:val="single" w:sz="6" w:color="C7770A"/>
              <w:left w:val="single" w:sz="24" w:color="C7770A"/>
              <w:bottom w:val="single" w:sz="6" w:color="C7770A"/>
              <w:right w:val="single" w:sz="6" w:color="C7770A"/>
            </w:tcBorders>
          </w:tcPr>
          <w:p>
            <w:pPr>
              <w:spacing w:after="80"/>
            </w:pPr>
            <w:r/>
            <w:r>
              <w:rPr>
                <w:b/>
                <w:color w:val="C7770A"/>
                <w:sz w:val="18"/>
              </w:rPr>
              <w:t>EMAIL · DAY 3 · re-thread on the original</w:t>
            </w:r>
          </w:p>
          <w:p>
            <w:pPr>
              <w:spacing w:after="40" w:before="0" w:line="288" w:lineRule="auto"/>
            </w:pPr>
            <w:r>
              <w:rPr>
                <w:rFonts w:ascii="Calibri" w:hAnsi="Calibri"/>
                <w:color w:val="1F1410"/>
                <w:sz w:val="21"/>
              </w:rPr>
              <w:t>Subject: re: {Company}: cost per lead at €5.57 instead of €29</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Hi {first name},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Following up on Tuesday. No reply needed, but this might be more useful than another ask:</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I built a 1-page DACH B2B benchmark sheet for {recipient_industry}. The median CPL across {recipient_industry} sits at €{industry_median_cpl}. Anything above €18 is a structural problem rather than a creative one.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Sheet: {link to a real benchmark hosted on mango-lab.de}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If the numbers in your account look worse than that, that is the exact problem we solve. Happy to look at your account on a 20-minute call this week if helpful.</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Best,</w:t>
            </w:r>
          </w:p>
          <w:p>
            <w:pPr>
              <w:spacing w:after="40" w:before="0" w:line="288" w:lineRule="auto"/>
            </w:pPr>
            <w:r>
              <w:rPr>
                <w:rFonts w:ascii="Calibri" w:hAnsi="Calibri"/>
                <w:color w:val="1F1410"/>
                <w:sz w:val="21"/>
              </w:rPr>
              <w:t>Jean-Luc</w:t>
            </w:r>
          </w:p>
        </w:tc>
      </w:tr>
    </w:tbl>
    <w:p>
      <w:pPr>
        <w:spacing w:after="120"/>
      </w:pPr>
    </w:p>
    <w:p>
      <w:r>
        <w:t>Length target: under 90 words. The link gives the recipient a reason to keep the email even if they do not reply, and it gives Lara something concrete to forward to Tomas (‘this might be useful for Monday’s review’).</w:t>
      </w:r>
    </w:p>
    <w:p>
      <w:pPr>
        <w:pStyle w:val="Heading1"/>
      </w:pPr>
      <w:r>
        <w:t>9. Cold outreach — follow-up #2 (send on day 7, breakup email)</w:t>
      </w:r>
    </w:p>
    <w:p>
      <w:r>
        <w:t>The day-7 follow-up is a deliberate breakup email. It signals this is the last touch in the sequence, removes the threat of further pressure, and frequently triggers a reply because the recipient now perceives a one-time loss rather than an ongoing demand on attention. Heinz Marketing (2023) documents the breakup email producing reply-rate uplifts of 15 — 25 percent over a generic third follow-up; the same finding appears across the public sales literature.</w:t>
      </w:r>
    </w:p>
    <w:tbl>
      <w:tblPr>
        <w:tblW w:type="auto" w:w="0"/>
        <w:tblLook w:firstColumn="1" w:firstRow="1" w:lastColumn="0" w:lastRow="0" w:noHBand="0" w:noVBand="1" w:val="04A0"/>
      </w:tblPr>
      <w:tblGrid>
        <w:gridCol w:w="9406"/>
      </w:tblGrid>
      <w:tr>
        <w:tc>
          <w:tcPr>
            <w:tcW w:type="dxa" w:w="9406"/>
            <w:shd w:val="clear" w:color="auto" w:fill="FAF6EE"/>
            <w:tcBorders>
              <w:top w:val="single" w:sz="6" w:color="C7770A"/>
              <w:left w:val="single" w:sz="24" w:color="C7770A"/>
              <w:bottom w:val="single" w:sz="6" w:color="C7770A"/>
              <w:right w:val="single" w:sz="6" w:color="C7770A"/>
            </w:tcBorders>
          </w:tcPr>
          <w:p>
            <w:pPr>
              <w:spacing w:after="80"/>
            </w:pPr>
            <w:r/>
            <w:r>
              <w:rPr>
                <w:b/>
                <w:color w:val="C7770A"/>
                <w:sz w:val="18"/>
              </w:rPr>
              <w:t>EMAIL · DAY 7 · breakup, last touch in the sequence</w:t>
            </w:r>
          </w:p>
          <w:p>
            <w:pPr>
              <w:spacing w:after="40" w:before="0" w:line="288" w:lineRule="auto"/>
            </w:pPr>
            <w:r>
              <w:rPr>
                <w:rFonts w:ascii="Calibri" w:hAnsi="Calibri"/>
                <w:color w:val="1F1410"/>
                <w:sz w:val="21"/>
              </w:rPr>
              <w:t>Subject: Closing the loop, {first name}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Hi {first name},</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Last note from me on this. I did not want to clutter your inbox.</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If the marketing-attribution problem is on your roadmap for Q3, keep the link from my last email — the {recipient_industry} benchmark sheet is yours even without a call.</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If the timing changes, the door is open. My calendar: {calendly_link}</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Wishing {Company} a strong quarter.</w:t>
            </w:r>
          </w:p>
          <w:p>
            <w:pPr>
              <w:spacing w:after="40" w:before="0" w:line="288" w:lineRule="auto"/>
            </w:pPr>
            <w:r>
              <w:rPr>
                <w:rFonts w:ascii="Calibri" w:hAnsi="Calibri"/>
                <w:color w:val="1F1410"/>
                <w:sz w:val="21"/>
              </w:rPr>
            </w:r>
          </w:p>
          <w:p>
            <w:pPr>
              <w:spacing w:after="40" w:before="0" w:line="288" w:lineRule="auto"/>
            </w:pPr>
            <w:r>
              <w:rPr>
                <w:rFonts w:ascii="Calibri" w:hAnsi="Calibri"/>
                <w:color w:val="1F1410"/>
                <w:sz w:val="21"/>
              </w:rPr>
              <w:t>Best,</w:t>
            </w:r>
          </w:p>
          <w:p>
            <w:pPr>
              <w:spacing w:after="40" w:before="0" w:line="288" w:lineRule="auto"/>
            </w:pPr>
            <w:r>
              <w:rPr>
                <w:rFonts w:ascii="Calibri" w:hAnsi="Calibri"/>
                <w:color w:val="1F1410"/>
                <w:sz w:val="21"/>
              </w:rPr>
              <w:t>Jean-Luc</w:t>
            </w:r>
          </w:p>
          <w:p>
            <w:pPr>
              <w:spacing w:after="40" w:before="0" w:line="288" w:lineRule="auto"/>
            </w:pPr>
            <w:r>
              <w:rPr>
                <w:rFonts w:ascii="Calibri" w:hAnsi="Calibri"/>
                <w:color w:val="1F1410"/>
                <w:sz w:val="21"/>
              </w:rPr>
              <w:t>Mango Lab</w:t>
            </w:r>
          </w:p>
        </w:tc>
      </w:tr>
    </w:tbl>
    <w:p>
      <w:pPr>
        <w:spacing w:after="120"/>
      </w:pPr>
    </w:p>
    <w:p>
      <w:r>
        <w:t>Length target: under 60 words. Send and move on. Do not break the breakup convention by sending a fourth email. The recipient either replies within 72 hours of the breakup or moves to the 90-day re-touch queue (managed in Pipedrive as a separate sequence ‘re-engagement’).</w:t>
      </w:r>
    </w:p>
    <w:p>
      <w:pPr>
        <w:pStyle w:val="Heading3"/>
      </w:pPr>
      <w:r>
        <w:t>9.1 LinkedIn parallel cadence (run alongside the email sequence)</w:t>
      </w:r>
    </w:p>
    <w:tbl>
      <w:tblPr>
        <w:tblW w:type="auto" w:w="0"/>
        <w:tblLook w:firstColumn="1" w:firstRow="1" w:lastColumn="0" w:lastRow="0" w:noHBand="0" w:noVBand="1" w:val="04A0"/>
      </w:tblPr>
      <w:tblGrid>
        <w:gridCol w:w="2351"/>
        <w:gridCol w:w="2351"/>
        <w:gridCol w:w="2351"/>
        <w:gridCol w:w="2351"/>
      </w:tblGrid>
      <w:tr>
        <w:tc>
          <w:tcPr>
            <w:tcW w:type="dxa" w:w="850"/>
            <w:shd w:val="clear" w:color="auto" w:fill="C7770A"/>
            <w:tcBorders>
              <w:top w:val="single" w:sz="6" w:color="1F1410"/>
              <w:left w:val="single" w:sz="6" w:color="1F1410"/>
              <w:bottom w:val="single" w:sz="6" w:color="1F1410"/>
              <w:right w:val="single" w:sz="6" w:color="1F1410"/>
            </w:tcBorders>
          </w:tcPr>
          <w:p>
            <w:r>
              <w:rPr>
                <w:b/>
                <w:color w:val="FFFFFF"/>
                <w:sz w:val="20"/>
              </w:rPr>
              <w:t>Day</w:t>
            </w:r>
          </w:p>
        </w:tc>
        <w:tc>
          <w:tcPr>
            <w:tcW w:type="dxa" w:w="1134"/>
            <w:shd w:val="clear" w:color="auto" w:fill="C7770A"/>
            <w:tcBorders>
              <w:top w:val="single" w:sz="6" w:color="1F1410"/>
              <w:left w:val="single" w:sz="6" w:color="1F1410"/>
              <w:bottom w:val="single" w:sz="6" w:color="1F1410"/>
              <w:right w:val="single" w:sz="6" w:color="1F1410"/>
            </w:tcBorders>
          </w:tcPr>
          <w:p>
            <w:r>
              <w:rPr>
                <w:b/>
                <w:color w:val="FFFFFF"/>
                <w:sz w:val="20"/>
              </w:rPr>
              <w:t>Channel</w:t>
            </w:r>
          </w:p>
        </w:tc>
        <w:tc>
          <w:tcPr>
            <w:tcW w:type="dxa" w:w="5102"/>
            <w:shd w:val="clear" w:color="auto" w:fill="C7770A"/>
            <w:tcBorders>
              <w:top w:val="single" w:sz="6" w:color="1F1410"/>
              <w:left w:val="single" w:sz="6" w:color="1F1410"/>
              <w:bottom w:val="single" w:sz="6" w:color="1F1410"/>
              <w:right w:val="single" w:sz="6" w:color="1F1410"/>
            </w:tcBorders>
          </w:tcPr>
          <w:p>
            <w:r>
              <w:rPr>
                <w:b/>
                <w:color w:val="FFFFFF"/>
                <w:sz w:val="20"/>
              </w:rPr>
              <w:t>Action</w:t>
            </w:r>
          </w:p>
        </w:tc>
        <w:tc>
          <w:tcPr>
            <w:tcW w:type="dxa" w:w="2268"/>
            <w:shd w:val="clear" w:color="auto" w:fill="C7770A"/>
            <w:tcBorders>
              <w:top w:val="single" w:sz="6" w:color="1F1410"/>
              <w:left w:val="single" w:sz="6" w:color="1F1410"/>
              <w:bottom w:val="single" w:sz="6" w:color="1F1410"/>
              <w:right w:val="single" w:sz="6" w:color="1F1410"/>
            </w:tcBorders>
          </w:tcPr>
          <w:p>
            <w:r>
              <w:rPr>
                <w:b/>
                <w:color w:val="FFFFFF"/>
                <w:sz w:val="20"/>
              </w:rPr>
              <w:t>Expected outcome</w:t>
            </w:r>
          </w:p>
        </w:tc>
      </w:tr>
      <w:tr>
        <w:tc>
          <w:tcPr>
            <w:tcW w:type="dxa" w:w="850"/>
            <w:tcBorders>
              <w:top w:val="single" w:sz="6" w:color="C7770A"/>
              <w:left w:val="single" w:sz="6" w:color="C7770A"/>
              <w:bottom w:val="single" w:sz="6" w:color="C7770A"/>
              <w:right w:val="single" w:sz="6" w:color="C7770A"/>
            </w:tcBorders>
          </w:tcPr>
          <w:p>
            <w:r>
              <w:rPr>
                <w:color w:val="1F1410"/>
                <w:sz w:val="20"/>
              </w:rPr>
              <w:t>Day 0</w:t>
            </w:r>
          </w:p>
        </w:tc>
        <w:tc>
          <w:tcPr>
            <w:tcW w:type="dxa" w:w="1134"/>
            <w:tcBorders>
              <w:top w:val="single" w:sz="6" w:color="C7770A"/>
              <w:left w:val="single" w:sz="6" w:color="C7770A"/>
              <w:bottom w:val="single" w:sz="6" w:color="C7770A"/>
              <w:right w:val="single" w:sz="6" w:color="C7770A"/>
            </w:tcBorders>
          </w:tcPr>
          <w:p>
            <w:r>
              <w:rPr>
                <w:color w:val="1F1410"/>
                <w:sz w:val="20"/>
              </w:rPr>
              <w:t>LinkedIn</w:t>
            </w:r>
          </w:p>
        </w:tc>
        <w:tc>
          <w:tcPr>
            <w:tcW w:type="dxa" w:w="5102"/>
            <w:tcBorders>
              <w:top w:val="single" w:sz="6" w:color="C7770A"/>
              <w:left w:val="single" w:sz="6" w:color="C7770A"/>
              <w:bottom w:val="single" w:sz="6" w:color="C7770A"/>
              <w:right w:val="single" w:sz="6" w:color="C7770A"/>
            </w:tcBorders>
          </w:tcPr>
          <w:p>
            <w:r>
              <w:rPr>
                <w:color w:val="1F1410"/>
                <w:sz w:val="20"/>
              </w:rPr>
              <w:t>Connection request, no message</w:t>
            </w:r>
          </w:p>
        </w:tc>
        <w:tc>
          <w:tcPr>
            <w:tcW w:type="dxa" w:w="2268"/>
            <w:tcBorders>
              <w:top w:val="single" w:sz="6" w:color="C7770A"/>
              <w:left w:val="single" w:sz="6" w:color="C7770A"/>
              <w:bottom w:val="single" w:sz="6" w:color="C7770A"/>
              <w:right w:val="single" w:sz="6" w:color="C7770A"/>
            </w:tcBorders>
          </w:tcPr>
          <w:p>
            <w:r>
              <w:rPr>
                <w:color w:val="1F1410"/>
                <w:sz w:val="20"/>
              </w:rPr>
              <w:t>30% accept rate within 48h</w:t>
            </w:r>
          </w:p>
        </w:tc>
      </w:tr>
      <w:tr>
        <w:tc>
          <w:tcPr>
            <w:tcW w:type="dxa" w:w="850"/>
            <w:shd w:val="clear" w:color="auto" w:fill="FAF6EE"/>
            <w:tcBorders>
              <w:top w:val="single" w:sz="6" w:color="C7770A"/>
              <w:left w:val="single" w:sz="6" w:color="C7770A"/>
              <w:bottom w:val="single" w:sz="6" w:color="C7770A"/>
              <w:right w:val="single" w:sz="6" w:color="C7770A"/>
            </w:tcBorders>
          </w:tcPr>
          <w:p>
            <w:r>
              <w:rPr>
                <w:color w:val="1F1410"/>
                <w:sz w:val="20"/>
              </w:rPr>
              <w:t>Day 0</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Email</w:t>
            </w:r>
          </w:p>
        </w:tc>
        <w:tc>
          <w:tcPr>
            <w:tcW w:type="dxa" w:w="5102"/>
            <w:shd w:val="clear" w:color="auto" w:fill="FAF6EE"/>
            <w:tcBorders>
              <w:top w:val="single" w:sz="6" w:color="C7770A"/>
              <w:left w:val="single" w:sz="6" w:color="C7770A"/>
              <w:bottom w:val="single" w:sz="6" w:color="C7770A"/>
              <w:right w:val="single" w:sz="6" w:color="C7770A"/>
            </w:tcBorders>
          </w:tcPr>
          <w:p>
            <w:r>
              <w:rPr>
                <w:color w:val="1F1410"/>
                <w:sz w:val="20"/>
              </w:rPr>
              <w:t>Send Day-0 cold email (section 7)</w:t>
            </w:r>
          </w:p>
        </w:tc>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30% open / 4% reply target</w:t>
            </w:r>
          </w:p>
        </w:tc>
      </w:tr>
      <w:tr>
        <w:tc>
          <w:tcPr>
            <w:tcW w:type="dxa" w:w="850"/>
            <w:tcBorders>
              <w:top w:val="single" w:sz="6" w:color="C7770A"/>
              <w:left w:val="single" w:sz="6" w:color="C7770A"/>
              <w:bottom w:val="single" w:sz="6" w:color="C7770A"/>
              <w:right w:val="single" w:sz="6" w:color="C7770A"/>
            </w:tcBorders>
          </w:tcPr>
          <w:p>
            <w:r>
              <w:rPr>
                <w:color w:val="1F1410"/>
                <w:sz w:val="20"/>
              </w:rPr>
              <w:t>Day 1</w:t>
            </w:r>
          </w:p>
        </w:tc>
        <w:tc>
          <w:tcPr>
            <w:tcW w:type="dxa" w:w="1134"/>
            <w:tcBorders>
              <w:top w:val="single" w:sz="6" w:color="C7770A"/>
              <w:left w:val="single" w:sz="6" w:color="C7770A"/>
              <w:bottom w:val="single" w:sz="6" w:color="C7770A"/>
              <w:right w:val="single" w:sz="6" w:color="C7770A"/>
            </w:tcBorders>
          </w:tcPr>
          <w:p>
            <w:r>
              <w:rPr>
                <w:color w:val="1F1410"/>
                <w:sz w:val="20"/>
              </w:rPr>
              <w:t>LinkedIn</w:t>
            </w:r>
          </w:p>
        </w:tc>
        <w:tc>
          <w:tcPr>
            <w:tcW w:type="dxa" w:w="5102"/>
            <w:tcBorders>
              <w:top w:val="single" w:sz="6" w:color="C7770A"/>
              <w:left w:val="single" w:sz="6" w:color="C7770A"/>
              <w:bottom w:val="single" w:sz="6" w:color="C7770A"/>
              <w:right w:val="single" w:sz="6" w:color="C7770A"/>
            </w:tcBorders>
          </w:tcPr>
          <w:p>
            <w:r>
              <w:rPr>
                <w:color w:val="1F1410"/>
                <w:sz w:val="20"/>
              </w:rPr>
              <w:t>If accepted, send a one-line DM: ‘Hi {first name} — sent you a note Tuesday. No pressure, just wanted you to have a face on the inbound.’</w:t>
            </w:r>
          </w:p>
        </w:tc>
        <w:tc>
          <w:tcPr>
            <w:tcW w:type="dxa" w:w="2268"/>
            <w:tcBorders>
              <w:top w:val="single" w:sz="6" w:color="C7770A"/>
              <w:left w:val="single" w:sz="6" w:color="C7770A"/>
              <w:bottom w:val="single" w:sz="6" w:color="C7770A"/>
              <w:right w:val="single" w:sz="6" w:color="C7770A"/>
            </w:tcBorders>
          </w:tcPr>
          <w:p>
            <w:r>
              <w:rPr>
                <w:color w:val="1F1410"/>
                <w:sz w:val="20"/>
              </w:rPr>
              <w:t>5% reply rate</w:t>
            </w:r>
          </w:p>
        </w:tc>
      </w:tr>
      <w:tr>
        <w:tc>
          <w:tcPr>
            <w:tcW w:type="dxa" w:w="850"/>
            <w:shd w:val="clear" w:color="auto" w:fill="FAF6EE"/>
            <w:tcBorders>
              <w:top w:val="single" w:sz="6" w:color="C7770A"/>
              <w:left w:val="single" w:sz="6" w:color="C7770A"/>
              <w:bottom w:val="single" w:sz="6" w:color="C7770A"/>
              <w:right w:val="single" w:sz="6" w:color="C7770A"/>
            </w:tcBorders>
          </w:tcPr>
          <w:p>
            <w:r>
              <w:rPr>
                <w:color w:val="1F1410"/>
                <w:sz w:val="20"/>
              </w:rPr>
              <w:t>Day 3</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Email</w:t>
            </w:r>
          </w:p>
        </w:tc>
        <w:tc>
          <w:tcPr>
            <w:tcW w:type="dxa" w:w="5102"/>
            <w:shd w:val="clear" w:color="auto" w:fill="FAF6EE"/>
            <w:tcBorders>
              <w:top w:val="single" w:sz="6" w:color="C7770A"/>
              <w:left w:val="single" w:sz="6" w:color="C7770A"/>
              <w:bottom w:val="single" w:sz="6" w:color="C7770A"/>
              <w:right w:val="single" w:sz="6" w:color="C7770A"/>
            </w:tcBorders>
          </w:tcPr>
          <w:p>
            <w:r>
              <w:rPr>
                <w:color w:val="1F1410"/>
                <w:sz w:val="20"/>
              </w:rPr>
              <w:t>Send Day-3 follow-up (section 8) with benchmark sheet</w:t>
            </w:r>
          </w:p>
        </w:tc>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Brings cumulative reply rate to ~7%</w:t>
            </w:r>
          </w:p>
        </w:tc>
      </w:tr>
      <w:tr>
        <w:tc>
          <w:tcPr>
            <w:tcW w:type="dxa" w:w="850"/>
            <w:tcBorders>
              <w:top w:val="single" w:sz="6" w:color="C7770A"/>
              <w:left w:val="single" w:sz="6" w:color="C7770A"/>
              <w:bottom w:val="single" w:sz="6" w:color="C7770A"/>
              <w:right w:val="single" w:sz="6" w:color="C7770A"/>
            </w:tcBorders>
          </w:tcPr>
          <w:p>
            <w:r>
              <w:rPr>
                <w:color w:val="1F1410"/>
                <w:sz w:val="20"/>
              </w:rPr>
              <w:t>Day 5</w:t>
            </w:r>
          </w:p>
        </w:tc>
        <w:tc>
          <w:tcPr>
            <w:tcW w:type="dxa" w:w="1134"/>
            <w:tcBorders>
              <w:top w:val="single" w:sz="6" w:color="C7770A"/>
              <w:left w:val="single" w:sz="6" w:color="C7770A"/>
              <w:bottom w:val="single" w:sz="6" w:color="C7770A"/>
              <w:right w:val="single" w:sz="6" w:color="C7770A"/>
            </w:tcBorders>
          </w:tcPr>
          <w:p>
            <w:r>
              <w:rPr>
                <w:color w:val="1F1410"/>
                <w:sz w:val="20"/>
              </w:rPr>
              <w:t>LinkedIn</w:t>
            </w:r>
          </w:p>
        </w:tc>
        <w:tc>
          <w:tcPr>
            <w:tcW w:type="dxa" w:w="5102"/>
            <w:tcBorders>
              <w:top w:val="single" w:sz="6" w:color="C7770A"/>
              <w:left w:val="single" w:sz="6" w:color="C7770A"/>
              <w:bottom w:val="single" w:sz="6" w:color="C7770A"/>
              <w:right w:val="single" w:sz="6" w:color="C7770A"/>
            </w:tcBorders>
          </w:tcPr>
          <w:p>
            <w:r>
              <w:rPr>
                <w:color w:val="1F1410"/>
                <w:sz w:val="20"/>
              </w:rPr>
              <w:t>If accepted but no DM reply, share or comment thoughtfully on one of their public posts (no pitch)</w:t>
            </w:r>
          </w:p>
        </w:tc>
        <w:tc>
          <w:tcPr>
            <w:tcW w:type="dxa" w:w="2268"/>
            <w:tcBorders>
              <w:top w:val="single" w:sz="6" w:color="C7770A"/>
              <w:left w:val="single" w:sz="6" w:color="C7770A"/>
              <w:bottom w:val="single" w:sz="6" w:color="C7770A"/>
              <w:right w:val="single" w:sz="6" w:color="C7770A"/>
            </w:tcBorders>
          </w:tcPr>
          <w:p>
            <w:r>
              <w:rPr>
                <w:color w:val="1F1410"/>
                <w:sz w:val="20"/>
              </w:rPr>
              <w:t>Top-of-mind, no reply expected</w:t>
            </w:r>
          </w:p>
        </w:tc>
      </w:tr>
      <w:tr>
        <w:tc>
          <w:tcPr>
            <w:tcW w:type="dxa" w:w="850"/>
            <w:shd w:val="clear" w:color="auto" w:fill="FAF6EE"/>
            <w:tcBorders>
              <w:top w:val="single" w:sz="6" w:color="C7770A"/>
              <w:left w:val="single" w:sz="6" w:color="C7770A"/>
              <w:bottom w:val="single" w:sz="6" w:color="C7770A"/>
              <w:right w:val="single" w:sz="6" w:color="C7770A"/>
            </w:tcBorders>
          </w:tcPr>
          <w:p>
            <w:r>
              <w:rPr>
                <w:color w:val="1F1410"/>
                <w:sz w:val="20"/>
              </w:rPr>
              <w:t>Day 7</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Email</w:t>
            </w:r>
          </w:p>
        </w:tc>
        <w:tc>
          <w:tcPr>
            <w:tcW w:type="dxa" w:w="5102"/>
            <w:shd w:val="clear" w:color="auto" w:fill="FAF6EE"/>
            <w:tcBorders>
              <w:top w:val="single" w:sz="6" w:color="C7770A"/>
              <w:left w:val="single" w:sz="6" w:color="C7770A"/>
              <w:bottom w:val="single" w:sz="6" w:color="C7770A"/>
              <w:right w:val="single" w:sz="6" w:color="C7770A"/>
            </w:tcBorders>
          </w:tcPr>
          <w:p>
            <w:r>
              <w:rPr>
                <w:color w:val="1F1410"/>
                <w:sz w:val="20"/>
              </w:rPr>
              <w:t>Send breakup email (section 9)</w:t>
            </w:r>
          </w:p>
        </w:tc>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+1 — 2 points reply rate uplift</w:t>
            </w:r>
          </w:p>
        </w:tc>
      </w:tr>
      <w:tr>
        <w:tc>
          <w:tcPr>
            <w:tcW w:type="dxa" w:w="850"/>
            <w:tcBorders>
              <w:top w:val="single" w:sz="6" w:color="C7770A"/>
              <w:left w:val="single" w:sz="6" w:color="C7770A"/>
              <w:bottom w:val="single" w:sz="6" w:color="C7770A"/>
              <w:right w:val="single" w:sz="6" w:color="C7770A"/>
            </w:tcBorders>
          </w:tcPr>
          <w:p>
            <w:r>
              <w:rPr>
                <w:color w:val="1F1410"/>
                <w:sz w:val="20"/>
              </w:rPr>
              <w:t>Day 90</w:t>
            </w:r>
          </w:p>
        </w:tc>
        <w:tc>
          <w:tcPr>
            <w:tcW w:type="dxa" w:w="1134"/>
            <w:tcBorders>
              <w:top w:val="single" w:sz="6" w:color="C7770A"/>
              <w:left w:val="single" w:sz="6" w:color="C7770A"/>
              <w:bottom w:val="single" w:sz="6" w:color="C7770A"/>
              <w:right w:val="single" w:sz="6" w:color="C7770A"/>
            </w:tcBorders>
          </w:tcPr>
          <w:p>
            <w:r>
              <w:rPr>
                <w:color w:val="1F1410"/>
                <w:sz w:val="20"/>
              </w:rPr>
              <w:t>Email</w:t>
            </w:r>
          </w:p>
        </w:tc>
        <w:tc>
          <w:tcPr>
            <w:tcW w:type="dxa" w:w="5102"/>
            <w:tcBorders>
              <w:top w:val="single" w:sz="6" w:color="C7770A"/>
              <w:left w:val="single" w:sz="6" w:color="C7770A"/>
              <w:bottom w:val="single" w:sz="6" w:color="C7770A"/>
              <w:right w:val="single" w:sz="6" w:color="C7770A"/>
            </w:tcBorders>
          </w:tcPr>
          <w:p>
            <w:r>
              <w:rPr>
                <w:color w:val="1F1410"/>
                <w:sz w:val="20"/>
              </w:rPr>
              <w:t>Re-touch sequence: a single new data point, e.g. ‘Q3 DACH benchmarks just dropped, here is your industry…’</w:t>
            </w:r>
          </w:p>
        </w:tc>
        <w:tc>
          <w:tcPr>
            <w:tcW w:type="dxa" w:w="2268"/>
            <w:tcBorders>
              <w:top w:val="single" w:sz="6" w:color="C7770A"/>
              <w:left w:val="single" w:sz="6" w:color="C7770A"/>
              <w:bottom w:val="single" w:sz="6" w:color="C7770A"/>
              <w:right w:val="single" w:sz="6" w:color="C7770A"/>
            </w:tcBorders>
          </w:tcPr>
          <w:p>
            <w:r>
              <w:rPr>
                <w:color w:val="1F1410"/>
                <w:sz w:val="20"/>
              </w:rPr>
              <w:t>30% of breakups reply within the next 12 months</w:t>
            </w:r>
          </w:p>
        </w:tc>
      </w:tr>
    </w:tbl>
    <w:p>
      <w:pPr>
        <w:pStyle w:val="Heading1"/>
      </w:pPr>
      <w:r>
        <w:t>10. Sample sales funnel — stages with example qualified leads</w:t>
      </w:r>
    </w:p>
    <w:p>
      <w:r>
        <w:t>The funnel below is the working assumption for a 1,000-account outreach campaign at the Still ICP. Conversion rates are anchored on the Pacific Crest 2024 SaaS sales benchmarks for SMB B2B in Europe and calibrated against the warm-channel numbers Mango Lab produced in Q1 2026 and the ENGINE_001 cold-traffic data where they overlap (lead-to-call conversion in particular).</w:t>
      </w:r>
    </w:p>
    <w:tbl>
      <w:tblPr>
        <w:tblW w:type="auto" w:w="0"/>
        <w:tblLook w:firstColumn="1" w:firstRow="1" w:lastColumn="0" w:lastRow="0" w:noHBand="0" w:noVBand="1" w:val="04A0"/>
      </w:tblPr>
      <w:tblGrid>
        <w:gridCol w:w="2351"/>
        <w:gridCol w:w="2351"/>
        <w:gridCol w:w="2351"/>
        <w:gridCol w:w="2351"/>
      </w:tblGrid>
      <w:tr>
        <w:tc>
          <w:tcPr>
            <w:tcW w:type="dxa" w:w="1701"/>
            <w:shd w:val="clear" w:color="auto" w:fill="C7770A"/>
            <w:tcBorders>
              <w:top w:val="single" w:sz="6" w:color="1F1410"/>
              <w:left w:val="single" w:sz="6" w:color="1F1410"/>
              <w:bottom w:val="single" w:sz="6" w:color="1F1410"/>
              <w:right w:val="single" w:sz="6" w:color="1F1410"/>
            </w:tcBorders>
          </w:tcPr>
          <w:p>
            <w:r>
              <w:rPr>
                <w:b/>
                <w:color w:val="FFFFFF"/>
                <w:sz w:val="20"/>
              </w:rPr>
              <w:t>Stage</w:t>
            </w:r>
          </w:p>
        </w:tc>
        <w:tc>
          <w:tcPr>
            <w:tcW w:type="dxa" w:w="3685"/>
            <w:shd w:val="clear" w:color="auto" w:fill="C7770A"/>
            <w:tcBorders>
              <w:top w:val="single" w:sz="6" w:color="1F1410"/>
              <w:left w:val="single" w:sz="6" w:color="1F1410"/>
              <w:bottom w:val="single" w:sz="6" w:color="1F1410"/>
              <w:right w:val="single" w:sz="6" w:color="1F1410"/>
            </w:tcBorders>
          </w:tcPr>
          <w:p>
            <w:r>
              <w:rPr>
                <w:b/>
                <w:color w:val="FFFFFF"/>
                <w:sz w:val="20"/>
              </w:rPr>
              <w:t>Definition</w:t>
            </w:r>
          </w:p>
        </w:tc>
        <w:tc>
          <w:tcPr>
            <w:tcW w:type="dxa" w:w="1701"/>
            <w:shd w:val="clear" w:color="auto" w:fill="C7770A"/>
            <w:tcBorders>
              <w:top w:val="single" w:sz="6" w:color="1F1410"/>
              <w:left w:val="single" w:sz="6" w:color="1F1410"/>
              <w:bottom w:val="single" w:sz="6" w:color="1F1410"/>
              <w:right w:val="single" w:sz="6" w:color="1F1410"/>
            </w:tcBorders>
          </w:tcPr>
          <w:p>
            <w:r>
              <w:rPr>
                <w:b/>
                <w:color w:val="FFFFFF"/>
                <w:sz w:val="20"/>
              </w:rPr>
              <w:t>Conversion from previous</w:t>
            </w:r>
          </w:p>
        </w:tc>
        <w:tc>
          <w:tcPr>
            <w:tcW w:type="dxa" w:w="1984"/>
            <w:shd w:val="clear" w:color="auto" w:fill="C7770A"/>
            <w:tcBorders>
              <w:top w:val="single" w:sz="6" w:color="1F1410"/>
              <w:left w:val="single" w:sz="6" w:color="1F1410"/>
              <w:bottom w:val="single" w:sz="6" w:color="1F1410"/>
              <w:right w:val="single" w:sz="6" w:color="1F1410"/>
            </w:tcBorders>
          </w:tcPr>
          <w:p>
            <w:r>
              <w:rPr>
                <w:b/>
                <w:color w:val="FFFFFF"/>
                <w:sz w:val="20"/>
              </w:rPr>
              <w:t>Volume per 1,000 sent</w:t>
            </w:r>
          </w:p>
        </w:tc>
      </w:tr>
      <w:tr>
        <w:tc>
          <w:tcPr>
            <w:tcW w:type="dxa" w:w="1701"/>
            <w:tcBorders>
              <w:top w:val="single" w:sz="6" w:color="C7770A"/>
              <w:left w:val="single" w:sz="6" w:color="C7770A"/>
              <w:bottom w:val="single" w:sz="6" w:color="C7770A"/>
              <w:right w:val="single" w:sz="6" w:color="C7770A"/>
            </w:tcBorders>
          </w:tcPr>
          <w:p>
            <w:r>
              <w:rPr>
                <w:color w:val="1F1410"/>
                <w:sz w:val="20"/>
              </w:rPr>
              <w:t>1. Sent</w:t>
            </w:r>
          </w:p>
        </w:tc>
        <w:tc>
          <w:tcPr>
            <w:tcW w:type="dxa" w:w="3685"/>
            <w:tcBorders>
              <w:top w:val="single" w:sz="6" w:color="C7770A"/>
              <w:left w:val="single" w:sz="6" w:color="C7770A"/>
              <w:bottom w:val="single" w:sz="6" w:color="C7770A"/>
              <w:right w:val="single" w:sz="6" w:color="C7770A"/>
            </w:tcBorders>
          </w:tcPr>
          <w:p>
            <w:r>
              <w:rPr>
                <w:color w:val="1F1410"/>
                <w:sz w:val="20"/>
              </w:rPr>
              <w:t>Cold email + same-day LinkedIn DM delivered to the targeted account</w:t>
            </w:r>
          </w:p>
        </w:tc>
        <w:tc>
          <w:tcPr>
            <w:tcW w:type="dxa" w:w="1701"/>
            <w:tcBorders>
              <w:top w:val="single" w:sz="6" w:color="C7770A"/>
              <w:left w:val="single" w:sz="6" w:color="C7770A"/>
              <w:bottom w:val="single" w:sz="6" w:color="C7770A"/>
              <w:right w:val="single" w:sz="6" w:color="C7770A"/>
            </w:tcBorders>
          </w:tcPr>
          <w:p>
            <w:r>
              <w:rPr>
                <w:color w:val="1F1410"/>
                <w:sz w:val="20"/>
              </w:rPr>
              <w:t>—</w:t>
            </w:r>
          </w:p>
        </w:tc>
        <w:tc>
          <w:tcPr>
            <w:tcW w:type="dxa" w:w="1984"/>
            <w:tcBorders>
              <w:top w:val="single" w:sz="6" w:color="C7770A"/>
              <w:left w:val="single" w:sz="6" w:color="C7770A"/>
              <w:bottom w:val="single" w:sz="6" w:color="C7770A"/>
              <w:right w:val="single" w:sz="6" w:color="C7770A"/>
            </w:tcBorders>
          </w:tcPr>
          <w:p>
            <w:r>
              <w:rPr>
                <w:color w:val="1F1410"/>
                <w:sz w:val="20"/>
              </w:rPr>
              <w:t>1,000</w:t>
            </w:r>
          </w:p>
        </w:tc>
      </w:tr>
      <w:tr>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2. Opened</w:t>
            </w:r>
          </w:p>
        </w:tc>
        <w:tc>
          <w:tcPr>
            <w:tcW w:type="dxa" w:w="3685"/>
            <w:shd w:val="clear" w:color="auto" w:fill="FAF6EE"/>
            <w:tcBorders>
              <w:top w:val="single" w:sz="6" w:color="C7770A"/>
              <w:left w:val="single" w:sz="6" w:color="C7770A"/>
              <w:bottom w:val="single" w:sz="6" w:color="C7770A"/>
              <w:right w:val="single" w:sz="6" w:color="C7770A"/>
            </w:tcBorders>
          </w:tcPr>
          <w:p>
            <w:r>
              <w:rPr>
                <w:color w:val="1F1410"/>
                <w:sz w:val="20"/>
              </w:rPr>
              <w:t>Email opened in the recipient inbox</w:t>
            </w:r>
          </w:p>
        </w:tc>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30 %</w:t>
            </w:r>
          </w:p>
        </w:tc>
        <w:tc>
          <w:tcPr>
            <w:tcW w:type="dxa" w:w="1984"/>
            <w:shd w:val="clear" w:color="auto" w:fill="FAF6EE"/>
            <w:tcBorders>
              <w:top w:val="single" w:sz="6" w:color="C7770A"/>
              <w:left w:val="single" w:sz="6" w:color="C7770A"/>
              <w:bottom w:val="single" w:sz="6" w:color="C7770A"/>
              <w:right w:val="single" w:sz="6" w:color="C7770A"/>
            </w:tcBorders>
          </w:tcPr>
          <w:p>
            <w:r>
              <w:rPr>
                <w:color w:val="1F1410"/>
                <w:sz w:val="20"/>
              </w:rPr>
              <w:t>300</w:t>
            </w:r>
          </w:p>
        </w:tc>
      </w:tr>
      <w:tr>
        <w:tc>
          <w:tcPr>
            <w:tcW w:type="dxa" w:w="1701"/>
            <w:tcBorders>
              <w:top w:val="single" w:sz="6" w:color="C7770A"/>
              <w:left w:val="single" w:sz="6" w:color="C7770A"/>
              <w:bottom w:val="single" w:sz="6" w:color="C7770A"/>
              <w:right w:val="single" w:sz="6" w:color="C7770A"/>
            </w:tcBorders>
          </w:tcPr>
          <w:p>
            <w:r>
              <w:rPr>
                <w:color w:val="1F1410"/>
                <w:sz w:val="20"/>
              </w:rPr>
              <w:t>3. Replied</w:t>
            </w:r>
          </w:p>
        </w:tc>
        <w:tc>
          <w:tcPr>
            <w:tcW w:type="dxa" w:w="3685"/>
            <w:tcBorders>
              <w:top w:val="single" w:sz="6" w:color="C7770A"/>
              <w:left w:val="single" w:sz="6" w:color="C7770A"/>
              <w:bottom w:val="single" w:sz="6" w:color="C7770A"/>
              <w:right w:val="single" w:sz="6" w:color="C7770A"/>
            </w:tcBorders>
          </w:tcPr>
          <w:p>
            <w:r>
              <w:rPr>
                <w:color w:val="1F1410"/>
                <w:sz w:val="20"/>
              </w:rPr>
              <w:t>Any reply, including ‘not now’</w:t>
            </w:r>
          </w:p>
        </w:tc>
        <w:tc>
          <w:tcPr>
            <w:tcW w:type="dxa" w:w="1701"/>
            <w:tcBorders>
              <w:top w:val="single" w:sz="6" w:color="C7770A"/>
              <w:left w:val="single" w:sz="6" w:color="C7770A"/>
              <w:bottom w:val="single" w:sz="6" w:color="C7770A"/>
              <w:right w:val="single" w:sz="6" w:color="C7770A"/>
            </w:tcBorders>
          </w:tcPr>
          <w:p>
            <w:r>
              <w:rPr>
                <w:color w:val="1F1410"/>
                <w:sz w:val="20"/>
              </w:rPr>
              <w:t>5 % of opens</w:t>
            </w:r>
          </w:p>
        </w:tc>
        <w:tc>
          <w:tcPr>
            <w:tcW w:type="dxa" w:w="1984"/>
            <w:tcBorders>
              <w:top w:val="single" w:sz="6" w:color="C7770A"/>
              <w:left w:val="single" w:sz="6" w:color="C7770A"/>
              <w:bottom w:val="single" w:sz="6" w:color="C7770A"/>
              <w:right w:val="single" w:sz="6" w:color="C7770A"/>
            </w:tcBorders>
          </w:tcPr>
          <w:p>
            <w:r>
              <w:rPr>
                <w:color w:val="1F1410"/>
                <w:sz w:val="20"/>
              </w:rPr>
              <w:t>15</w:t>
            </w:r>
          </w:p>
        </w:tc>
      </w:tr>
      <w:tr>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4. Discovery booked</w:t>
            </w:r>
          </w:p>
        </w:tc>
        <w:tc>
          <w:tcPr>
            <w:tcW w:type="dxa" w:w="3685"/>
            <w:shd w:val="clear" w:color="auto" w:fill="FAF6EE"/>
            <w:tcBorders>
              <w:top w:val="single" w:sz="6" w:color="C7770A"/>
              <w:left w:val="single" w:sz="6" w:color="C7770A"/>
              <w:bottom w:val="single" w:sz="6" w:color="C7770A"/>
              <w:right w:val="single" w:sz="6" w:color="C7770A"/>
            </w:tcBorders>
          </w:tcPr>
          <w:p>
            <w:r>
              <w:rPr>
                <w:color w:val="1F1410"/>
                <w:sz w:val="20"/>
              </w:rPr>
              <w:t>Calendly slot held by the recipient</w:t>
            </w:r>
          </w:p>
        </w:tc>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60 % of replies</w:t>
            </w:r>
          </w:p>
        </w:tc>
        <w:tc>
          <w:tcPr>
            <w:tcW w:type="dxa" w:w="1984"/>
            <w:shd w:val="clear" w:color="auto" w:fill="FAF6EE"/>
            <w:tcBorders>
              <w:top w:val="single" w:sz="6" w:color="C7770A"/>
              <w:left w:val="single" w:sz="6" w:color="C7770A"/>
              <w:bottom w:val="single" w:sz="6" w:color="C7770A"/>
              <w:right w:val="single" w:sz="6" w:color="C7770A"/>
            </w:tcBorders>
          </w:tcPr>
          <w:p>
            <w:r>
              <w:rPr>
                <w:color w:val="1F1410"/>
                <w:sz w:val="20"/>
              </w:rPr>
              <w:t>9</w:t>
            </w:r>
          </w:p>
        </w:tc>
      </w:tr>
      <w:tr>
        <w:tc>
          <w:tcPr>
            <w:tcW w:type="dxa" w:w="1701"/>
            <w:tcBorders>
              <w:top w:val="single" w:sz="6" w:color="C7770A"/>
              <w:left w:val="single" w:sz="6" w:color="C7770A"/>
              <w:bottom w:val="single" w:sz="6" w:color="C7770A"/>
              <w:right w:val="single" w:sz="6" w:color="C7770A"/>
            </w:tcBorders>
          </w:tcPr>
          <w:p>
            <w:r>
              <w:rPr>
                <w:color w:val="1F1410"/>
                <w:sz w:val="20"/>
              </w:rPr>
              <w:t>5. Discovery held</w:t>
            </w:r>
          </w:p>
        </w:tc>
        <w:tc>
          <w:tcPr>
            <w:tcW w:type="dxa" w:w="3685"/>
            <w:tcBorders>
              <w:top w:val="single" w:sz="6" w:color="C7770A"/>
              <w:left w:val="single" w:sz="6" w:color="C7770A"/>
              <w:bottom w:val="single" w:sz="6" w:color="C7770A"/>
              <w:right w:val="single" w:sz="6" w:color="C7770A"/>
            </w:tcBorders>
          </w:tcPr>
          <w:p>
            <w:r>
              <w:rPr>
                <w:color w:val="1F1410"/>
                <w:sz w:val="20"/>
              </w:rPr>
              <w:t>Call attended live, Mom Test interview run</w:t>
            </w:r>
          </w:p>
        </w:tc>
        <w:tc>
          <w:tcPr>
            <w:tcW w:type="dxa" w:w="1701"/>
            <w:tcBorders>
              <w:top w:val="single" w:sz="6" w:color="C7770A"/>
              <w:left w:val="single" w:sz="6" w:color="C7770A"/>
              <w:bottom w:val="single" w:sz="6" w:color="C7770A"/>
              <w:right w:val="single" w:sz="6" w:color="C7770A"/>
            </w:tcBorders>
          </w:tcPr>
          <w:p>
            <w:r>
              <w:rPr>
                <w:color w:val="1F1410"/>
                <w:sz w:val="20"/>
              </w:rPr>
              <w:t>75 % of bookings</w:t>
            </w:r>
          </w:p>
        </w:tc>
        <w:tc>
          <w:tcPr>
            <w:tcW w:type="dxa" w:w="1984"/>
            <w:tcBorders>
              <w:top w:val="single" w:sz="6" w:color="C7770A"/>
              <w:left w:val="single" w:sz="6" w:color="C7770A"/>
              <w:bottom w:val="single" w:sz="6" w:color="C7770A"/>
              <w:right w:val="single" w:sz="6" w:color="C7770A"/>
            </w:tcBorders>
          </w:tcPr>
          <w:p>
            <w:r>
              <w:rPr>
                <w:color w:val="1F1410"/>
                <w:sz w:val="20"/>
              </w:rPr>
              <w:t>7</w:t>
            </w:r>
          </w:p>
        </w:tc>
      </w:tr>
      <w:tr>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6. Pilot started</w:t>
            </w:r>
          </w:p>
        </w:tc>
        <w:tc>
          <w:tcPr>
            <w:tcW w:type="dxa" w:w="3685"/>
            <w:shd w:val="clear" w:color="auto" w:fill="FAF6EE"/>
            <w:tcBorders>
              <w:top w:val="single" w:sz="6" w:color="C7770A"/>
              <w:left w:val="single" w:sz="6" w:color="C7770A"/>
              <w:bottom w:val="single" w:sz="6" w:color="C7770A"/>
              <w:right w:val="single" w:sz="6" w:color="C7770A"/>
            </w:tcBorders>
          </w:tcPr>
          <w:p>
            <w:r>
              <w:rPr>
                <w:color w:val="1F1410"/>
                <w:sz w:val="20"/>
              </w:rPr>
              <w:t>Recipient agrees to a 14-day Still pilot in their account</w:t>
            </w:r>
          </w:p>
        </w:tc>
        <w:tc>
          <w:tcPr>
            <w:tcW w:type="dxa" w:w="1701"/>
            <w:shd w:val="clear" w:color="auto" w:fill="FAF6EE"/>
            <w:tcBorders>
              <w:top w:val="single" w:sz="6" w:color="C7770A"/>
              <w:left w:val="single" w:sz="6" w:color="C7770A"/>
              <w:bottom w:val="single" w:sz="6" w:color="C7770A"/>
              <w:right w:val="single" w:sz="6" w:color="C7770A"/>
            </w:tcBorders>
          </w:tcPr>
          <w:p>
            <w:r>
              <w:rPr>
                <w:color w:val="1F1410"/>
                <w:sz w:val="20"/>
              </w:rPr>
              <w:t>55 % of held calls</w:t>
            </w:r>
          </w:p>
        </w:tc>
        <w:tc>
          <w:tcPr>
            <w:tcW w:type="dxa" w:w="1984"/>
            <w:shd w:val="clear" w:color="auto" w:fill="FAF6EE"/>
            <w:tcBorders>
              <w:top w:val="single" w:sz="6" w:color="C7770A"/>
              <w:left w:val="single" w:sz="6" w:color="C7770A"/>
              <w:bottom w:val="single" w:sz="6" w:color="C7770A"/>
              <w:right w:val="single" w:sz="6" w:color="C7770A"/>
            </w:tcBorders>
          </w:tcPr>
          <w:p>
            <w:r>
              <w:rPr>
                <w:color w:val="1F1410"/>
                <w:sz w:val="20"/>
              </w:rPr>
              <w:t>4</w:t>
            </w:r>
          </w:p>
        </w:tc>
      </w:tr>
      <w:tr>
        <w:tc>
          <w:tcPr>
            <w:tcW w:type="dxa" w:w="1701"/>
            <w:tcBorders>
              <w:top w:val="single" w:sz="6" w:color="C7770A"/>
              <w:left w:val="single" w:sz="6" w:color="C7770A"/>
              <w:bottom w:val="single" w:sz="6" w:color="C7770A"/>
              <w:right w:val="single" w:sz="6" w:color="C7770A"/>
            </w:tcBorders>
          </w:tcPr>
          <w:p>
            <w:r>
              <w:rPr>
                <w:color w:val="1F1410"/>
                <w:sz w:val="20"/>
              </w:rPr>
              <w:t>7. Closed-won (paying)</w:t>
            </w:r>
          </w:p>
        </w:tc>
        <w:tc>
          <w:tcPr>
            <w:tcW w:type="dxa" w:w="3685"/>
            <w:tcBorders>
              <w:top w:val="single" w:sz="6" w:color="C7770A"/>
              <w:left w:val="single" w:sz="6" w:color="C7770A"/>
              <w:bottom w:val="single" w:sz="6" w:color="C7770A"/>
              <w:right w:val="single" w:sz="6" w:color="C7770A"/>
            </w:tcBorders>
          </w:tcPr>
          <w:p>
            <w:r>
              <w:rPr>
                <w:color w:val="1F1410"/>
                <w:sz w:val="20"/>
              </w:rPr>
              <w:t>Pilot converts to paid annual or monthly contract (€499 — €1,499/month)</w:t>
            </w:r>
          </w:p>
        </w:tc>
        <w:tc>
          <w:tcPr>
            <w:tcW w:type="dxa" w:w="1701"/>
            <w:tcBorders>
              <w:top w:val="single" w:sz="6" w:color="C7770A"/>
              <w:left w:val="single" w:sz="6" w:color="C7770A"/>
              <w:bottom w:val="single" w:sz="6" w:color="C7770A"/>
              <w:right w:val="single" w:sz="6" w:color="C7770A"/>
            </w:tcBorders>
          </w:tcPr>
          <w:p>
            <w:r>
              <w:rPr>
                <w:color w:val="1F1410"/>
                <w:sz w:val="20"/>
              </w:rPr>
              <w:t>40 % of pilots</w:t>
            </w:r>
          </w:p>
        </w:tc>
        <w:tc>
          <w:tcPr>
            <w:tcW w:type="dxa" w:w="1984"/>
            <w:tcBorders>
              <w:top w:val="single" w:sz="6" w:color="C7770A"/>
              <w:left w:val="single" w:sz="6" w:color="C7770A"/>
              <w:bottom w:val="single" w:sz="6" w:color="C7770A"/>
              <w:right w:val="single" w:sz="6" w:color="C7770A"/>
            </w:tcBorders>
          </w:tcPr>
          <w:p>
            <w:r>
              <w:rPr>
                <w:color w:val="1F1410"/>
                <w:sz w:val="20"/>
              </w:rPr>
              <w:t>1.5</w:t>
            </w:r>
          </w:p>
        </w:tc>
      </w:tr>
    </w:tbl>
    <w:p>
      <w:pPr>
        <w:pStyle w:val="Heading3"/>
      </w:pPr>
      <w:r>
        <w:t>10.1 Two example qualified leads (composite, drawn from the live pipeline)</w:t>
      </w:r>
    </w:p>
    <w:p>
      <w:pPr>
        <w:ind w:left="340" w:hanging="227"/>
      </w:pPr>
      <w:r>
        <w:t>• Lead A. 22-person Berlin-based logistics SaaS. User: Lara-equivalent marketing manager. Currently spending €1,800/month on Meta with a CPL of €38. Source: subject line 5 (‘Re: your post about marketing attribution’) — she had posted about attribution two days before. Qualified out of follow-up #1, booked a discovery call within 96 hours of the first send.</w:t>
      </w:r>
    </w:p>
    <w:p>
      <w:pPr>
        <w:ind w:left="340" w:hanging="227"/>
      </w:pPr>
      <w:r>
        <w:t>• Lead B. 14-person Munich design agency. Buyer: founder. Currently producing creative for three SMB clients in-house. Source: subject line 3 (‘Stop paying your agency to do this’) — he was both an agency owner and frustrated with the time he spent on his own marketing. Qualified during a discovery call after the breakup email; the breakup is what finally got the reply.</w:t>
      </w:r>
    </w:p>
    <w:p>
      <w:pPr>
        <w:pStyle w:val="Heading1"/>
      </w:pPr>
      <w:r>
        <w:t>11. Qualification criteria — BANT plus pain articulation</w:t>
      </w:r>
    </w:p>
    <w:p>
      <w:r>
        <w:t>Qualification is run on the discovery call (stage 5 above). The framework is BANT (Budget, Authority, Need, Timeline) extended with a thirty-second pain-articulation test drawn from Fitzpatrick (2013). The pain test is the single most predictive line on the call: a buyer who can articulate the cost of inaction in their own words, in under thirty seconds, converts to paying customer at roughly three times the rate of a buyer who cannot.</w:t>
      </w:r>
    </w:p>
    <w:tbl>
      <w:tblPr>
        <w:tblW w:type="auto" w:w="0"/>
        <w:tblLook w:firstColumn="1" w:firstRow="1" w:lastColumn="0" w:lastRow="0" w:noHBand="0" w:noVBand="1" w:val="04A0"/>
      </w:tblPr>
      <w:tblGrid>
        <w:gridCol w:w="3135"/>
        <w:gridCol w:w="3135"/>
        <w:gridCol w:w="3135"/>
      </w:tblGrid>
      <w:tr>
        <w:tc>
          <w:tcPr>
            <w:tcW w:type="dxa" w:w="2268"/>
            <w:shd w:val="clear" w:color="auto" w:fill="C7770A"/>
            <w:tcBorders>
              <w:top w:val="single" w:sz="6" w:color="1F1410"/>
              <w:left w:val="single" w:sz="6" w:color="1F1410"/>
              <w:bottom w:val="single" w:sz="6" w:color="1F1410"/>
              <w:right w:val="single" w:sz="6" w:color="1F1410"/>
            </w:tcBorders>
          </w:tcPr>
          <w:p>
            <w:r>
              <w:rPr>
                <w:b/>
                <w:color w:val="FFFFFF"/>
                <w:sz w:val="20"/>
              </w:rPr>
              <w:t>Criterion</w:t>
            </w:r>
          </w:p>
        </w:tc>
        <w:tc>
          <w:tcPr>
            <w:tcW w:type="dxa" w:w="3969"/>
            <w:shd w:val="clear" w:color="auto" w:fill="C7770A"/>
            <w:tcBorders>
              <w:top w:val="single" w:sz="6" w:color="1F1410"/>
              <w:left w:val="single" w:sz="6" w:color="1F1410"/>
              <w:bottom w:val="single" w:sz="6" w:color="1F1410"/>
              <w:right w:val="single" w:sz="6" w:color="1F1410"/>
            </w:tcBorders>
          </w:tcPr>
          <w:p>
            <w:r>
              <w:rPr>
                <w:b/>
                <w:color w:val="FFFFFF"/>
                <w:sz w:val="20"/>
              </w:rPr>
              <w:t>Question to ask on the call</w:t>
            </w:r>
          </w:p>
        </w:tc>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Pass condition</w:t>
            </w:r>
          </w:p>
        </w:tc>
      </w:tr>
      <w:tr>
        <w:tc>
          <w:tcPr>
            <w:tcW w:type="dxa" w:w="2268"/>
            <w:tcBorders>
              <w:top w:val="single" w:sz="6" w:color="C7770A"/>
              <w:left w:val="single" w:sz="6" w:color="C7770A"/>
              <w:bottom w:val="single" w:sz="6" w:color="C7770A"/>
              <w:right w:val="single" w:sz="6" w:color="C7770A"/>
            </w:tcBorders>
          </w:tcPr>
          <w:p>
            <w:r>
              <w:rPr>
                <w:color w:val="1F1410"/>
                <w:sz w:val="20"/>
              </w:rPr>
              <w:t>Budget</w:t>
            </w:r>
          </w:p>
        </w:tc>
        <w:tc>
          <w:tcPr>
            <w:tcW w:type="dxa" w:w="3969"/>
            <w:tcBorders>
              <w:top w:val="single" w:sz="6" w:color="C7770A"/>
              <w:left w:val="single" w:sz="6" w:color="C7770A"/>
              <w:bottom w:val="single" w:sz="6" w:color="C7770A"/>
              <w:right w:val="single" w:sz="6" w:color="C7770A"/>
            </w:tcBorders>
          </w:tcPr>
          <w:p>
            <w:r>
              <w:rPr>
                <w:color w:val="1F1410"/>
                <w:sz w:val="20"/>
              </w:rPr>
              <w:t>What is your current monthly spend on paid media plus marketing tooling?</w:t>
            </w:r>
          </w:p>
        </w:tc>
        <w:tc>
          <w:tcPr>
            <w:tcW w:type="dxa" w:w="2835"/>
            <w:tcBorders>
              <w:top w:val="single" w:sz="6" w:color="C7770A"/>
              <w:left w:val="single" w:sz="6" w:color="C7770A"/>
              <w:bottom w:val="single" w:sz="6" w:color="C7770A"/>
              <w:right w:val="single" w:sz="6" w:color="C7770A"/>
            </w:tcBorders>
          </w:tcPr>
          <w:p>
            <w:r>
              <w:rPr>
                <w:color w:val="1F1410"/>
                <w:sz w:val="20"/>
              </w:rPr>
              <w:t>≥ €500/month combined</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Authority</w:t>
            </w:r>
          </w:p>
        </w:tc>
        <w:tc>
          <w:tcPr>
            <w:tcW w:type="dxa" w:w="3969"/>
            <w:shd w:val="clear" w:color="auto" w:fill="FAF6EE"/>
            <w:tcBorders>
              <w:top w:val="single" w:sz="6" w:color="C7770A"/>
              <w:left w:val="single" w:sz="6" w:color="C7770A"/>
              <w:bottom w:val="single" w:sz="6" w:color="C7770A"/>
              <w:right w:val="single" w:sz="6" w:color="C7770A"/>
            </w:tcBorders>
          </w:tcPr>
          <w:p>
            <w:r>
              <w:rPr>
                <w:color w:val="1F1410"/>
                <w:sz w:val="20"/>
              </w:rPr>
              <w:t>Who else needs to be in the room to sign off on a tool like Still?</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Buyer is the recipient, OR recipient can name the buyer and bring them</w:t>
            </w:r>
          </w:p>
        </w:tc>
      </w:tr>
      <w:tr>
        <w:tc>
          <w:tcPr>
            <w:tcW w:type="dxa" w:w="2268"/>
            <w:tcBorders>
              <w:top w:val="single" w:sz="6" w:color="C7770A"/>
              <w:left w:val="single" w:sz="6" w:color="C7770A"/>
              <w:bottom w:val="single" w:sz="6" w:color="C7770A"/>
              <w:right w:val="single" w:sz="6" w:color="C7770A"/>
            </w:tcBorders>
          </w:tcPr>
          <w:p>
            <w:r>
              <w:rPr>
                <w:color w:val="1F1410"/>
                <w:sz w:val="20"/>
              </w:rPr>
              <w:t>Need</w:t>
            </w:r>
          </w:p>
        </w:tc>
        <w:tc>
          <w:tcPr>
            <w:tcW w:type="dxa" w:w="3969"/>
            <w:tcBorders>
              <w:top w:val="single" w:sz="6" w:color="C7770A"/>
              <w:left w:val="single" w:sz="6" w:color="C7770A"/>
              <w:bottom w:val="single" w:sz="6" w:color="C7770A"/>
              <w:right w:val="single" w:sz="6" w:color="C7770A"/>
            </w:tcBorders>
          </w:tcPr>
          <w:p>
            <w:r>
              <w:rPr>
                <w:color w:val="1F1410"/>
                <w:sz w:val="20"/>
              </w:rPr>
              <w:t>What does Monday morning look like in your role today?</w:t>
            </w:r>
          </w:p>
        </w:tc>
        <w:tc>
          <w:tcPr>
            <w:tcW w:type="dxa" w:w="2835"/>
            <w:tcBorders>
              <w:top w:val="single" w:sz="6" w:color="C7770A"/>
              <w:left w:val="single" w:sz="6" w:color="C7770A"/>
              <w:bottom w:val="single" w:sz="6" w:color="C7770A"/>
              <w:right w:val="single" w:sz="6" w:color="C7770A"/>
            </w:tcBorders>
          </w:tcPr>
          <w:p>
            <w:r>
              <w:rPr>
                <w:color w:val="1F1410"/>
                <w:sz w:val="20"/>
              </w:rPr>
              <w:t>Recipient names campaign reporting, attribution, or creative production as a recurring pain</w:t>
            </w:r>
          </w:p>
        </w:tc>
      </w:tr>
      <w:tr>
        <w:tc>
          <w:tcPr>
            <w:tcW w:type="dxa" w:w="2268"/>
            <w:shd w:val="clear" w:color="auto" w:fill="FAF6EE"/>
            <w:tcBorders>
              <w:top w:val="single" w:sz="6" w:color="C7770A"/>
              <w:left w:val="single" w:sz="6" w:color="C7770A"/>
              <w:bottom w:val="single" w:sz="6" w:color="C7770A"/>
              <w:right w:val="single" w:sz="6" w:color="C7770A"/>
            </w:tcBorders>
          </w:tcPr>
          <w:p>
            <w:r>
              <w:rPr>
                <w:color w:val="1F1410"/>
                <w:sz w:val="20"/>
              </w:rPr>
              <w:t>Timeline</w:t>
            </w:r>
          </w:p>
        </w:tc>
        <w:tc>
          <w:tcPr>
            <w:tcW w:type="dxa" w:w="3969"/>
            <w:shd w:val="clear" w:color="auto" w:fill="FAF6EE"/>
            <w:tcBorders>
              <w:top w:val="single" w:sz="6" w:color="C7770A"/>
              <w:left w:val="single" w:sz="6" w:color="C7770A"/>
              <w:bottom w:val="single" w:sz="6" w:color="C7770A"/>
              <w:right w:val="single" w:sz="6" w:color="C7770A"/>
            </w:tcBorders>
          </w:tcPr>
          <w:p>
            <w:r>
              <w:rPr>
                <w:color w:val="1F1410"/>
                <w:sz w:val="20"/>
              </w:rPr>
              <w:t>If we found the right fit, what would stop you starting in the next 14 days?</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No structural blocker (no annual budget freeze, no parallel RFP, no holiday)</w:t>
            </w:r>
          </w:p>
        </w:tc>
      </w:tr>
      <w:tr>
        <w:tc>
          <w:tcPr>
            <w:tcW w:type="dxa" w:w="2268"/>
            <w:tcBorders>
              <w:top w:val="single" w:sz="6" w:color="C7770A"/>
              <w:left w:val="single" w:sz="6" w:color="C7770A"/>
              <w:bottom w:val="single" w:sz="6" w:color="C7770A"/>
              <w:right w:val="single" w:sz="6" w:color="C7770A"/>
            </w:tcBorders>
          </w:tcPr>
          <w:p>
            <w:r>
              <w:rPr>
                <w:color w:val="1F1410"/>
                <w:sz w:val="20"/>
              </w:rPr>
              <w:t>Pain articulation (Mom Test)</w:t>
            </w:r>
          </w:p>
        </w:tc>
        <w:tc>
          <w:tcPr>
            <w:tcW w:type="dxa" w:w="3969"/>
            <w:tcBorders>
              <w:top w:val="single" w:sz="6" w:color="C7770A"/>
              <w:left w:val="single" w:sz="6" w:color="C7770A"/>
              <w:bottom w:val="single" w:sz="6" w:color="C7770A"/>
              <w:right w:val="single" w:sz="6" w:color="C7770A"/>
            </w:tcBorders>
          </w:tcPr>
          <w:p>
            <w:r>
              <w:rPr>
                <w:color w:val="1F1410"/>
                <w:sz w:val="20"/>
              </w:rPr>
              <w:t>Walk me through the last campaign that did not work the way you wanted it to.</w:t>
            </w:r>
          </w:p>
        </w:tc>
        <w:tc>
          <w:tcPr>
            <w:tcW w:type="dxa" w:w="2835"/>
            <w:tcBorders>
              <w:top w:val="single" w:sz="6" w:color="C7770A"/>
              <w:left w:val="single" w:sz="6" w:color="C7770A"/>
              <w:bottom w:val="single" w:sz="6" w:color="C7770A"/>
              <w:right w:val="single" w:sz="6" w:color="C7770A"/>
            </w:tcBorders>
          </w:tcPr>
          <w:p>
            <w:r>
              <w:rPr>
                <w:color w:val="1F1410"/>
                <w:sz w:val="20"/>
              </w:rPr>
              <w:t>Recipient describes a real prior incident with numbers and consequences in &lt;30 seconds</w:t>
            </w:r>
          </w:p>
        </w:tc>
      </w:tr>
    </w:tbl>
    <w:p>
      <w:r>
        <w:t>Disqualification rule: a recipient who passes BANT but fails the pain articulation test is logged as ‘not ready, follow up in 90 days’ rather than as ‘qualified opportunity’. Pursuing such a recipient through the pilot stage on the strength of BANT alone produces a high pilot-to-paying drop-off (per the funnel above) and is a worse use of operator time than the next email in the queue. We learned this empirically with two Q1 2026 pilots that died at the renewal conversation despite passing all four BANT criteria; both had been weak on pain articulation in the original discovery call.</w:t>
      </w:r>
    </w:p>
    <w:p>
      <w:pPr>
        <w:pStyle w:val="Heading1"/>
      </w:pPr>
      <w:r>
        <w:t>12. KPIs and success metrics for sales</w:t>
      </w:r>
    </w:p>
    <w:p>
      <w:r>
        <w:t>Sales KPIs are managed on a weekly review cadence (Friday 16:00 CET, 30 minutes). Each metric below has a numeric target, a source for the target, and the action that fires if the metric is missed for two consecutive weeks. The ‘action if missed’ column is the most important column: a dashboard with no fire rules is a dashboard nobody acts on.</w:t>
      </w:r>
    </w:p>
    <w:tbl>
      <w:tblPr>
        <w:tblW w:type="auto" w:w="0"/>
        <w:tblLook w:firstColumn="1" w:firstRow="1" w:lastColumn="0" w:lastRow="0" w:noHBand="0" w:noVBand="1" w:val="04A0"/>
      </w:tblPr>
      <w:tblGrid>
        <w:gridCol w:w="2351"/>
        <w:gridCol w:w="2351"/>
        <w:gridCol w:w="2351"/>
        <w:gridCol w:w="2351"/>
      </w:tblGrid>
      <w:tr>
        <w:tc>
          <w:tcPr>
            <w:tcW w:type="dxa" w:w="2551"/>
            <w:shd w:val="clear" w:color="auto" w:fill="C7770A"/>
            <w:tcBorders>
              <w:top w:val="single" w:sz="6" w:color="1F1410"/>
              <w:left w:val="single" w:sz="6" w:color="1F1410"/>
              <w:bottom w:val="single" w:sz="6" w:color="1F1410"/>
              <w:right w:val="single" w:sz="6" w:color="1F1410"/>
            </w:tcBorders>
          </w:tcPr>
          <w:p>
            <w:r>
              <w:rPr>
                <w:b/>
                <w:color w:val="FFFFFF"/>
                <w:sz w:val="20"/>
              </w:rPr>
              <w:t>Metric</w:t>
            </w:r>
          </w:p>
        </w:tc>
        <w:tc>
          <w:tcPr>
            <w:tcW w:type="dxa" w:w="1134"/>
            <w:shd w:val="clear" w:color="auto" w:fill="C7770A"/>
            <w:tcBorders>
              <w:top w:val="single" w:sz="6" w:color="1F1410"/>
              <w:left w:val="single" w:sz="6" w:color="1F1410"/>
              <w:bottom w:val="single" w:sz="6" w:color="1F1410"/>
              <w:right w:val="single" w:sz="6" w:color="1F1410"/>
            </w:tcBorders>
          </w:tcPr>
          <w:p>
            <w:r>
              <w:rPr>
                <w:b/>
                <w:color w:val="FFFFFF"/>
                <w:sz w:val="20"/>
              </w:rPr>
              <w:t>Target</w:t>
            </w:r>
          </w:p>
        </w:tc>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Source for the target</w:t>
            </w:r>
          </w:p>
        </w:tc>
        <w:tc>
          <w:tcPr>
            <w:tcW w:type="dxa" w:w="2835"/>
            <w:shd w:val="clear" w:color="auto" w:fill="C7770A"/>
            <w:tcBorders>
              <w:top w:val="single" w:sz="6" w:color="1F1410"/>
              <w:left w:val="single" w:sz="6" w:color="1F1410"/>
              <w:bottom w:val="single" w:sz="6" w:color="1F1410"/>
              <w:right w:val="single" w:sz="6" w:color="1F1410"/>
            </w:tcBorders>
          </w:tcPr>
          <w:p>
            <w:r>
              <w:rPr>
                <w:b/>
                <w:color w:val="FFFFFF"/>
                <w:sz w:val="20"/>
              </w:rPr>
              <w:t>Action if missed two weeks</w:t>
            </w:r>
          </w:p>
        </w:tc>
      </w:tr>
      <w:tr>
        <w:tc>
          <w:tcPr>
            <w:tcW w:type="dxa" w:w="2551"/>
            <w:tcBorders>
              <w:top w:val="single" w:sz="6" w:color="C7770A"/>
              <w:left w:val="single" w:sz="6" w:color="C7770A"/>
              <w:bottom w:val="single" w:sz="6" w:color="C7770A"/>
              <w:right w:val="single" w:sz="6" w:color="C7770A"/>
            </w:tcBorders>
          </w:tcPr>
          <w:p>
            <w:r>
              <w:rPr>
                <w:color w:val="1F1410"/>
                <w:sz w:val="20"/>
              </w:rPr>
              <w:t>Open rate (cold email)</w:t>
            </w:r>
          </w:p>
        </w:tc>
        <w:tc>
          <w:tcPr>
            <w:tcW w:type="dxa" w:w="1134"/>
            <w:tcBorders>
              <w:top w:val="single" w:sz="6" w:color="C7770A"/>
              <w:left w:val="single" w:sz="6" w:color="C7770A"/>
              <w:bottom w:val="single" w:sz="6" w:color="C7770A"/>
              <w:right w:val="single" w:sz="6" w:color="C7770A"/>
            </w:tcBorders>
          </w:tcPr>
          <w:p>
            <w:r>
              <w:rPr>
                <w:color w:val="1F1410"/>
                <w:sz w:val="20"/>
              </w:rPr>
              <w:t>≥ 30 %</w:t>
            </w:r>
          </w:p>
        </w:tc>
        <w:tc>
          <w:tcPr>
            <w:tcW w:type="dxa" w:w="2835"/>
            <w:tcBorders>
              <w:top w:val="single" w:sz="6" w:color="C7770A"/>
              <w:left w:val="single" w:sz="6" w:color="C7770A"/>
              <w:bottom w:val="single" w:sz="6" w:color="C7770A"/>
              <w:right w:val="single" w:sz="6" w:color="C7770A"/>
            </w:tcBorders>
          </w:tcPr>
          <w:p>
            <w:r>
              <w:rPr>
                <w:color w:val="1F1410"/>
                <w:sz w:val="20"/>
              </w:rPr>
              <w:t>HubSpot 2024 sales benchmark for outbound B2B in DACH</w:t>
            </w:r>
          </w:p>
        </w:tc>
        <w:tc>
          <w:tcPr>
            <w:tcW w:type="dxa" w:w="2835"/>
            <w:tcBorders>
              <w:top w:val="single" w:sz="6" w:color="C7770A"/>
              <w:left w:val="single" w:sz="6" w:color="C7770A"/>
              <w:bottom w:val="single" w:sz="6" w:color="C7770A"/>
              <w:right w:val="single" w:sz="6" w:color="C7770A"/>
            </w:tcBorders>
          </w:tcPr>
          <w:p>
            <w:r>
              <w:rPr>
                <w:color w:val="1F1410"/>
                <w:sz w:val="20"/>
              </w:rPr>
              <w:t>Rotate subject-line variants in section 6; demote variant 2 if it drops below 25%</w:t>
            </w:r>
          </w:p>
        </w:tc>
      </w:tr>
      <w:tr>
        <w:tc>
          <w:tcPr>
            <w:tcW w:type="dxa" w:w="2551"/>
            <w:shd w:val="clear" w:color="auto" w:fill="FAF6EE"/>
            <w:tcBorders>
              <w:top w:val="single" w:sz="6" w:color="C7770A"/>
              <w:left w:val="single" w:sz="6" w:color="C7770A"/>
              <w:bottom w:val="single" w:sz="6" w:color="C7770A"/>
              <w:right w:val="single" w:sz="6" w:color="C7770A"/>
            </w:tcBorders>
          </w:tcPr>
          <w:p>
            <w:r>
              <w:rPr>
                <w:color w:val="1F1410"/>
                <w:sz w:val="20"/>
              </w:rPr>
              <w:t>Reply rate (any reply)</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 4 %</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Reply.io 2024 outbound benchmark, B2B SaaS</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Rewrite the opening line of the body in section 7; check personalisation tokens are filled</w:t>
            </w:r>
          </w:p>
        </w:tc>
      </w:tr>
      <w:tr>
        <w:tc>
          <w:tcPr>
            <w:tcW w:type="dxa" w:w="2551"/>
            <w:tcBorders>
              <w:top w:val="single" w:sz="6" w:color="C7770A"/>
              <w:left w:val="single" w:sz="6" w:color="C7770A"/>
              <w:bottom w:val="single" w:sz="6" w:color="C7770A"/>
              <w:right w:val="single" w:sz="6" w:color="C7770A"/>
            </w:tcBorders>
          </w:tcPr>
          <w:p>
            <w:r>
              <w:rPr>
                <w:color w:val="1F1410"/>
                <w:sz w:val="20"/>
              </w:rPr>
              <w:t>Discovery calls booked / week</w:t>
            </w:r>
          </w:p>
        </w:tc>
        <w:tc>
          <w:tcPr>
            <w:tcW w:type="dxa" w:w="1134"/>
            <w:tcBorders>
              <w:top w:val="single" w:sz="6" w:color="C7770A"/>
              <w:left w:val="single" w:sz="6" w:color="C7770A"/>
              <w:bottom w:val="single" w:sz="6" w:color="C7770A"/>
              <w:right w:val="single" w:sz="6" w:color="C7770A"/>
            </w:tcBorders>
          </w:tcPr>
          <w:p>
            <w:r>
              <w:rPr>
                <w:color w:val="1F1410"/>
                <w:sz w:val="20"/>
              </w:rPr>
              <w:t>≥ 5</w:t>
            </w:r>
          </w:p>
        </w:tc>
        <w:tc>
          <w:tcPr>
            <w:tcW w:type="dxa" w:w="2835"/>
            <w:tcBorders>
              <w:top w:val="single" w:sz="6" w:color="C7770A"/>
              <w:left w:val="single" w:sz="6" w:color="C7770A"/>
              <w:bottom w:val="single" w:sz="6" w:color="C7770A"/>
              <w:right w:val="single" w:sz="6" w:color="C7770A"/>
            </w:tcBorders>
          </w:tcPr>
          <w:p>
            <w:r>
              <w:rPr>
                <w:color w:val="1F1410"/>
                <w:sz w:val="20"/>
              </w:rPr>
              <w:t>Pipeline coverage to hit two paying customers per quarter</w:t>
            </w:r>
          </w:p>
        </w:tc>
        <w:tc>
          <w:tcPr>
            <w:tcW w:type="dxa" w:w="2835"/>
            <w:tcBorders>
              <w:top w:val="single" w:sz="6" w:color="C7770A"/>
              <w:left w:val="single" w:sz="6" w:color="C7770A"/>
              <w:bottom w:val="single" w:sz="6" w:color="C7770A"/>
              <w:right w:val="single" w:sz="6" w:color="C7770A"/>
            </w:tcBorders>
          </w:tcPr>
          <w:p>
            <w:r>
              <w:rPr>
                <w:color w:val="1F1410"/>
                <w:sz w:val="20"/>
              </w:rPr>
              <w:t>Increase weekly send volume by 100, audit qualification criteria</w:t>
            </w:r>
          </w:p>
        </w:tc>
      </w:tr>
      <w:tr>
        <w:tc>
          <w:tcPr>
            <w:tcW w:type="dxa" w:w="2551"/>
            <w:shd w:val="clear" w:color="auto" w:fill="FAF6EE"/>
            <w:tcBorders>
              <w:top w:val="single" w:sz="6" w:color="C7770A"/>
              <w:left w:val="single" w:sz="6" w:color="C7770A"/>
              <w:bottom w:val="single" w:sz="6" w:color="C7770A"/>
              <w:right w:val="single" w:sz="6" w:color="C7770A"/>
            </w:tcBorders>
          </w:tcPr>
          <w:p>
            <w:r>
              <w:rPr>
                <w:color w:val="1F1410"/>
                <w:sz w:val="20"/>
              </w:rPr>
              <w:t>Show-up rate on booked calls</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 75 %</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Pacific Crest 2024 SaaS benchmark</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Add automated reminder 24h and 1h before the call (Calendly setting)</w:t>
            </w:r>
          </w:p>
        </w:tc>
      </w:tr>
      <w:tr>
        <w:tc>
          <w:tcPr>
            <w:tcW w:type="dxa" w:w="2551"/>
            <w:tcBorders>
              <w:top w:val="single" w:sz="6" w:color="C7770A"/>
              <w:left w:val="single" w:sz="6" w:color="C7770A"/>
              <w:bottom w:val="single" w:sz="6" w:color="C7770A"/>
              <w:right w:val="single" w:sz="6" w:color="C7770A"/>
            </w:tcBorders>
          </w:tcPr>
          <w:p>
            <w:r>
              <w:rPr>
                <w:color w:val="1F1410"/>
                <w:sz w:val="20"/>
              </w:rPr>
              <w:t>Discovery → pilot conversion</w:t>
            </w:r>
          </w:p>
        </w:tc>
        <w:tc>
          <w:tcPr>
            <w:tcW w:type="dxa" w:w="1134"/>
            <w:tcBorders>
              <w:top w:val="single" w:sz="6" w:color="C7770A"/>
              <w:left w:val="single" w:sz="6" w:color="C7770A"/>
              <w:bottom w:val="single" w:sz="6" w:color="C7770A"/>
              <w:right w:val="single" w:sz="6" w:color="C7770A"/>
            </w:tcBorders>
          </w:tcPr>
          <w:p>
            <w:r>
              <w:rPr>
                <w:color w:val="1F1410"/>
                <w:sz w:val="20"/>
              </w:rPr>
              <w:t>≥ 50 %</w:t>
            </w:r>
          </w:p>
        </w:tc>
        <w:tc>
          <w:tcPr>
            <w:tcW w:type="dxa" w:w="2835"/>
            <w:tcBorders>
              <w:top w:val="single" w:sz="6" w:color="C7770A"/>
              <w:left w:val="single" w:sz="6" w:color="C7770A"/>
              <w:bottom w:val="single" w:sz="6" w:color="C7770A"/>
              <w:right w:val="single" w:sz="6" w:color="C7770A"/>
            </w:tcBorders>
          </w:tcPr>
          <w:p>
            <w:r>
              <w:rPr>
                <w:color w:val="1F1410"/>
                <w:sz w:val="20"/>
              </w:rPr>
              <w:t>Internal target derived from the funnel in section 10</w:t>
            </w:r>
          </w:p>
        </w:tc>
        <w:tc>
          <w:tcPr>
            <w:tcW w:type="dxa" w:w="2835"/>
            <w:tcBorders>
              <w:top w:val="single" w:sz="6" w:color="C7770A"/>
              <w:left w:val="single" w:sz="6" w:color="C7770A"/>
              <w:bottom w:val="single" w:sz="6" w:color="C7770A"/>
              <w:right w:val="single" w:sz="6" w:color="C7770A"/>
            </w:tcBorders>
          </w:tcPr>
          <w:p>
            <w:r>
              <w:rPr>
                <w:color w:val="1F1410"/>
                <w:sz w:val="20"/>
              </w:rPr>
              <w:t>Audit the discovery-call script for a missing pain-articulation prompt (section 11)</w:t>
            </w:r>
          </w:p>
        </w:tc>
      </w:tr>
      <w:tr>
        <w:tc>
          <w:tcPr>
            <w:tcW w:type="dxa" w:w="2551"/>
            <w:shd w:val="clear" w:color="auto" w:fill="FAF6EE"/>
            <w:tcBorders>
              <w:top w:val="single" w:sz="6" w:color="C7770A"/>
              <w:left w:val="single" w:sz="6" w:color="C7770A"/>
              <w:bottom w:val="single" w:sz="6" w:color="C7770A"/>
              <w:right w:val="single" w:sz="6" w:color="C7770A"/>
            </w:tcBorders>
          </w:tcPr>
          <w:p>
            <w:r>
              <w:rPr>
                <w:color w:val="1F1410"/>
                <w:sz w:val="20"/>
              </w:rPr>
              <w:t>Pilot → closed-won conversion</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 40 %</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Internal target derived from the funnel in section 10</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Tighten qualification: raise BANT bar, drop pilots that failed pain articulation</w:t>
            </w:r>
          </w:p>
        </w:tc>
      </w:tr>
      <w:tr>
        <w:tc>
          <w:tcPr>
            <w:tcW w:type="dxa" w:w="2551"/>
            <w:tcBorders>
              <w:top w:val="single" w:sz="6" w:color="C7770A"/>
              <w:left w:val="single" w:sz="6" w:color="C7770A"/>
              <w:bottom w:val="single" w:sz="6" w:color="C7770A"/>
              <w:right w:val="single" w:sz="6" w:color="C7770A"/>
            </w:tcBorders>
          </w:tcPr>
          <w:p>
            <w:r>
              <w:rPr>
                <w:color w:val="1F1410"/>
                <w:sz w:val="20"/>
              </w:rPr>
              <w:t>Average sales cycle (sent → closed-won)</w:t>
            </w:r>
          </w:p>
        </w:tc>
        <w:tc>
          <w:tcPr>
            <w:tcW w:type="dxa" w:w="1134"/>
            <w:tcBorders>
              <w:top w:val="single" w:sz="6" w:color="C7770A"/>
              <w:left w:val="single" w:sz="6" w:color="C7770A"/>
              <w:bottom w:val="single" w:sz="6" w:color="C7770A"/>
              <w:right w:val="single" w:sz="6" w:color="C7770A"/>
            </w:tcBorders>
          </w:tcPr>
          <w:p>
            <w:r>
              <w:rPr>
                <w:color w:val="1F1410"/>
                <w:sz w:val="20"/>
              </w:rPr>
              <w:t>≤ 30 days</w:t>
            </w:r>
          </w:p>
        </w:tc>
        <w:tc>
          <w:tcPr>
            <w:tcW w:type="dxa" w:w="2835"/>
            <w:tcBorders>
              <w:top w:val="single" w:sz="6" w:color="C7770A"/>
              <w:left w:val="single" w:sz="6" w:color="C7770A"/>
              <w:bottom w:val="single" w:sz="6" w:color="C7770A"/>
              <w:right w:val="single" w:sz="6" w:color="C7770A"/>
            </w:tcBorders>
          </w:tcPr>
          <w:p>
            <w:r>
              <w:rPr>
                <w:color w:val="1F1410"/>
                <w:sz w:val="20"/>
              </w:rPr>
              <w:t>Pacific Crest 2024 SaaS SMB benchmark for Europe</w:t>
            </w:r>
          </w:p>
        </w:tc>
        <w:tc>
          <w:tcPr>
            <w:tcW w:type="dxa" w:w="2835"/>
            <w:tcBorders>
              <w:top w:val="single" w:sz="6" w:color="C7770A"/>
              <w:left w:val="single" w:sz="6" w:color="C7770A"/>
              <w:bottom w:val="single" w:sz="6" w:color="C7770A"/>
              <w:right w:val="single" w:sz="6" w:color="C7770A"/>
            </w:tcBorders>
          </w:tcPr>
          <w:p>
            <w:r>
              <w:rPr>
                <w:color w:val="1F1410"/>
                <w:sz w:val="20"/>
              </w:rPr>
              <w:t>Compress follow-up sequence; consider removing the day-7 breakup email if not producing</w:t>
            </w:r>
          </w:p>
        </w:tc>
      </w:tr>
      <w:tr>
        <w:tc>
          <w:tcPr>
            <w:tcW w:type="dxa" w:w="2551"/>
            <w:shd w:val="clear" w:color="auto" w:fill="FAF6EE"/>
            <w:tcBorders>
              <w:top w:val="single" w:sz="6" w:color="C7770A"/>
              <w:left w:val="single" w:sz="6" w:color="C7770A"/>
              <w:bottom w:val="single" w:sz="6" w:color="C7770A"/>
              <w:right w:val="single" w:sz="6" w:color="C7770A"/>
            </w:tcBorders>
          </w:tcPr>
          <w:p>
            <w:r>
              <w:rPr>
                <w:color w:val="1F1410"/>
                <w:sz w:val="20"/>
              </w:rPr>
              <w:t>Cost per closed-won (CAC)</w:t>
            </w:r>
          </w:p>
        </w:tc>
        <w:tc>
          <w:tcPr>
            <w:tcW w:type="dxa" w:w="1134"/>
            <w:shd w:val="clear" w:color="auto" w:fill="FAF6EE"/>
            <w:tcBorders>
              <w:top w:val="single" w:sz="6" w:color="C7770A"/>
              <w:left w:val="single" w:sz="6" w:color="C7770A"/>
              <w:bottom w:val="single" w:sz="6" w:color="C7770A"/>
              <w:right w:val="single" w:sz="6" w:color="C7770A"/>
            </w:tcBorders>
          </w:tcPr>
          <w:p>
            <w:r>
              <w:rPr>
                <w:color w:val="1F1410"/>
                <w:sz w:val="20"/>
              </w:rPr>
              <w:t>≤ €350</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Internal target: ≤ 1 month of expected ACV at €499/month plan</w:t>
            </w:r>
          </w:p>
        </w:tc>
        <w:tc>
          <w:tcPr>
            <w:tcW w:type="dxa" w:w="2835"/>
            <w:shd w:val="clear" w:color="auto" w:fill="FAF6EE"/>
            <w:tcBorders>
              <w:top w:val="single" w:sz="6" w:color="C7770A"/>
              <w:left w:val="single" w:sz="6" w:color="C7770A"/>
              <w:bottom w:val="single" w:sz="6" w:color="C7770A"/>
              <w:right w:val="single" w:sz="6" w:color="C7770A"/>
            </w:tcBorders>
          </w:tcPr>
          <w:p>
            <w:r>
              <w:rPr>
                <w:color w:val="1F1410"/>
                <w:sz w:val="20"/>
              </w:rPr>
              <w:t>Reduce send volume; raise targeting precision in the user persona</w:t>
            </w:r>
          </w:p>
        </w:tc>
      </w:tr>
    </w:tbl>
    <w:p>
      <w:r>
        <w:t>The single ‘north-star’ metric on this list is cost per closed-won customer (CAC). All other metrics are leading indicators that should be inspected in service of moving CAC down. A campaign that produces an above-target reply rate but a CAC above €350 is a campaign that needs to qualify harder, not a campaign that needs to send more.</w:t>
      </w:r>
    </w:p>
    <w:p>
      <w:pPr>
        <w:pStyle w:val="Heading3"/>
      </w:pPr>
      <w:r>
        <w:t>12.1 What the dashboard looks like in practice</w:t>
      </w:r>
    </w:p>
    <w:p>
      <w:r>
        <w:t>The metrics above sit in a single Notion page, one row per week, with a Friday-afternoon review block that the operator (Jean-Luc, currently) fills in by hand. The week’s numbers are pulled from Pipedrive (reply, booked, held, closed-won), from the Mango Lab Gmail send-log (sent, opened), and from Stripe (closed-won revenue). The whole review takes 25 minutes and produces one sentence per missed metric describing the action that will be taken in the next sending week. That sentence is the only artefact of the meeting; if no metric was missed, the sentence is ‘keep doing what we are doing this week’.</w:t>
      </w:r>
    </w:p>
    <w:p>
      <w:pPr>
        <w:pStyle w:val="Heading1"/>
      </w:pPr>
      <w:r>
        <w:t>References</w:t>
      </w:r>
    </w:p>
    <w:p>
      <w:pPr>
        <w:spacing w:after="80"/>
        <w:ind w:left="567" w:hanging="567"/>
      </w:pPr>
      <w:r>
        <w:rPr>
          <w:sz w:val="20"/>
        </w:rPr>
        <w:t>Christensen, C. M., Hall, T., Dillon, K. and Duncan, D. S. (2016) Competing against luck: the story of innovation and customer choice. New York: HarperBusiness.</w:t>
      </w:r>
    </w:p>
    <w:p>
      <w:pPr>
        <w:spacing w:after="80"/>
        <w:ind w:left="567" w:hanging="567"/>
      </w:pPr>
      <w:r>
        <w:rPr>
          <w:sz w:val="20"/>
        </w:rPr>
        <w:t>Fitzpatrick, R. (2013) The Mom Test: how to talk to customers and learn if your business is a good idea when everyone is lying to you. London: Founder Centric.</w:t>
      </w:r>
    </w:p>
    <w:p>
      <w:pPr>
        <w:spacing w:after="80"/>
        <w:ind w:left="567" w:hanging="567"/>
      </w:pPr>
      <w:r>
        <w:rPr>
          <w:sz w:val="20"/>
        </w:rPr>
        <w:t>Heinz Marketing (2023) The breakup email: B2B response rate study. Redmond, WA: Heinz Marketing.</w:t>
      </w:r>
    </w:p>
    <w:p>
      <w:pPr>
        <w:spacing w:after="80"/>
        <w:ind w:left="567" w:hanging="567"/>
      </w:pPr>
      <w:r>
        <w:rPr>
          <w:sz w:val="20"/>
        </w:rPr>
        <w:t>HubSpot (2024) The 2024 state of marketing report. Cambridge, MA: HubSpot Research.</w:t>
      </w:r>
    </w:p>
    <w:p>
      <w:pPr>
        <w:spacing w:after="80"/>
        <w:ind w:left="567" w:hanging="567"/>
      </w:pPr>
      <w:r>
        <w:rPr>
          <w:sz w:val="20"/>
        </w:rPr>
        <w:t>LocaliQ (2024) Facebook Ads benchmarks for every industry (formerly WordStream). Available at: https://localiq.com/blog/facebook-ads-benchmarks/ (Accessed: 3 May 2026).</w:t>
      </w:r>
    </w:p>
    <w:p>
      <w:pPr>
        <w:spacing w:after="80"/>
        <w:ind w:left="567" w:hanging="567"/>
      </w:pPr>
      <w:r>
        <w:rPr>
          <w:sz w:val="20"/>
        </w:rPr>
        <w:t>Pacific Crest (2024) SaaS Survey 2024: SMB and mid-market segment. Bellevue, WA: Pacific Crest Securities.</w:t>
      </w:r>
    </w:p>
    <w:p>
      <w:pPr>
        <w:spacing w:after="80"/>
        <w:ind w:left="567" w:hanging="567"/>
      </w:pPr>
      <w:r>
        <w:rPr>
          <w:sz w:val="20"/>
        </w:rPr>
        <w:t>Reply.io (2024) State of outbound sales: 2024 benchmark report. Available at: https://reply.io/state-of-outbound-2024 (Accessed: 3 May 2026).</w:t>
      </w:r>
    </w:p>
    <w:p>
      <w:pPr>
        <w:spacing w:after="80"/>
        <w:ind w:left="567" w:hanging="567"/>
      </w:pPr>
      <w:r>
        <w:rPr>
          <w:sz w:val="20"/>
        </w:rPr>
        <w:t>Salesforce (2024) Small and medium business trends report. 6th edn. San Francisco: Salesforce Research.</w:t>
      </w:r>
    </w:p>
    <w:p>
      <w:pPr>
        <w:spacing w:after="80"/>
        <w:ind w:left="567" w:hanging="567"/>
      </w:pPr>
      <w:r>
        <w:rPr>
          <w:sz w:val="20"/>
        </w:rPr>
        <w:t>Zote, J. (2024) The 2024 short-form video report. Sprout Social Insights. Available at: https://sproutsocial.com/insights/short-form-video/ (Accessed: 3 May 2026).</w:t>
      </w:r>
    </w:p>
    <w:p>
      <w:pPr>
        <w:pStyle w:val="Heading1"/>
      </w:pPr>
      <w:r>
        <w:t>Statement on the use of generative AI</w:t>
      </w:r>
    </w:p>
    <w:p>
      <w:r>
        <w:t>Generative AI tools (Claude by Anthropic) were used during the production of this report as a drafting assistant to convert customer-interview notes, the ENGINE_001 dataset, and the author’s outreach experience into structured prose, which was then edited line by line for register and accuracy. The customer interviews, the warm-channel deals, the ENGINE_001 campaign, the personas, and the outreach scripts are the author’s own work. Every cited source has been read by the author.</w:t>
      </w:r>
    </w:p>
    <w:sectPr>
      <w:headerReference r:id="rId7" w:type="default"/>
      <w:headerReference r:id="rId8" w:type="first"/>
      <w:footerReference r:id="rId9" w:type="default"/>
      <w:pgSz w:h="16820" w:w="11900" w:orient="portrait"/>
      <w:pgMar w:bottom="1134" w:top="1134" w:left="1247" w:right="1247"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DOCPROPERTY "Title"</w:instrText>
      <w:fldChar w:fldCharType="separate"/>
    </w:r>
    <w:r w:rsidDel="00000000" w:rsidR="00000000" w:rsidRPr="00000000">
      <w:rPr>
        <w:sz w:val="16"/>
        <w:szCs w:val="16"/>
        <w:rtl w:val="0"/>
      </w:rPr>
      <w:t xml:space="preserve">Title</w:t>
    </w:r>
    <w:r w:rsidDel="00000000" w:rsidR="00000000" w:rsidRPr="00000000">
      <w:fldChar w:fldCharType="end"/>
    </w:r>
    <w:r w:rsidDel="00000000" w:rsidR="00000000" w:rsidRPr="00000000">
      <w:rPr>
        <w:sz w:val="16"/>
        <w:szCs w:val="16"/>
        <w:rtl w:val="0"/>
      </w:rPr>
      <w:t xml:space="preserve">  |  CODE University of Applied Sciences  | </w:t>
    </w:r>
    <w:r w:rsidDel="00000000" w:rsidR="00000000" w:rsidRPr="00000000">
      <w:fldChar w:fldCharType="begin"/>
      <w:instrText xml:space="preserve"> DOCPROPERTY "Student Name"</w:instrText>
      <w:fldChar w:fldCharType="separate"/>
    </w:r>
    <w:r w:rsidDel="00000000" w:rsidR="00000000" w:rsidRPr="00000000">
      <w:rPr>
        <w:sz w:val="16"/>
        <w:szCs w:val="16"/>
        <w:rtl w:val="0"/>
      </w:rPr>
      <w:t xml:space="preserve">Student Name</w:t>
    </w:r>
    <w:r w:rsidDel="00000000" w:rsidR="00000000" w:rsidRPr="00000000">
      <w:fldChar w:fldCharType="end"/>
    </w:r>
    <w:r w:rsidDel="00000000" w:rsidR="00000000" w:rsidRPr="00000000">
      <w:rPr>
        <w:sz w:val="16"/>
        <w:szCs w:val="16"/>
        <w:rtl w:val="0"/>
      </w:rPr>
      <w:t xml:space="preserve"> </w:t>
      <w:tab/>
    </w:r>
    <w:r w:rsidDel="00000000" w:rsidR="00000000" w:rsidRPr="00000000">
      <w:fldChar w:fldCharType="begin"/>
      <w:instrText xml:space="preserve"> DOCPROPERTY "Hand-in Date"</w:instrText>
      <w:fldChar w:fldCharType="separate"/>
    </w:r>
    <w:r w:rsidDel="00000000" w:rsidR="00000000" w:rsidRPr="00000000">
      <w:rPr>
        <w:sz w:val="16"/>
        <w:szCs w:val="16"/>
        <w:rtl w:val="0"/>
      </w:rPr>
      <w:t xml:space="preserve">Hand-in Date</w:t>
    </w:r>
    <w:r w:rsidDel="00000000" w:rsidR="00000000" w:rsidRPr="00000000">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spacing w:before="720" w:lineRule="auto"/>
      <w:rPr/>
    </w:pPr>
    <w:r w:rsidDel="00000000" w:rsidR="00000000" w:rsidRPr="00000000">
      <w:rPr>
        <w:rtl w:val="0"/>
      </w:rPr>
      <w:t xml:space="preserve">  </w:t>
    </w:r>
  </w:p>
  <w:tbl>
    <w:tblPr>
      <w:tblStyle w:val="Table1"/>
      <w:tblW w:w="9072.0" w:type="dxa"/>
      <w:jc w:val="left"/>
      <w:tblInd w:w="-100.0" w:type="dxa"/>
      <w:tblBorders>
        <w:bottom w:color="000000" w:space="0" w:sz="6" w:val="single"/>
        <w:insideH w:color="000000" w:space="0" w:sz="6" w:val="single"/>
      </w:tblBorders>
      <w:tblLayout w:type="fixed"/>
      <w:tblLook w:val="0600"/>
    </w:tblPr>
    <w:tblGrid>
      <w:gridCol w:w="4514"/>
      <w:gridCol w:w="4558"/>
      <w:tblGridChange w:id="0">
        <w:tblGrid>
          <w:gridCol w:w="4514"/>
          <w:gridCol w:w="4558"/>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0">
          <w:pPr>
            <w:pageBreakBefore w:val="0"/>
            <w:spacing w:line="240" w:lineRule="auto"/>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50801</wp:posOffset>
                </wp:positionH>
                <wp:positionV relativeFrom="paragraph">
                  <wp:posOffset>-45719</wp:posOffset>
                </wp:positionV>
                <wp:extent cx="2515235" cy="273050"/>
                <wp:effectExtent b="0" l="0" r="0" t="0"/>
                <wp:wrapNone/>
                <wp:docPr id="2" name="image2.png"/>
                <a:graphic>
                  <a:graphicData uri="http://schemas.openxmlformats.org/drawingml/2006/picture">
                    <pic:pic>
                      <pic:nvPicPr>
                        <pic:cNvPr id="0" name="image2.png"/>
                        <pic:cNvPicPr preferRelativeResize="0"/>
                      </pic:nvPicPr>
                      <pic:blipFill>
                        <a:blip r:embed="rId1"/>
                        <a:srcRect b="942" l="0" r="0" t="942"/>
                        <a:stretch>
                          <a:fillRect/>
                        </a:stretch>
                      </pic:blipFill>
                      <pic:spPr>
                        <a:xfrm>
                          <a:off x="0" y="0"/>
                          <a:ext cx="2515235" cy="273050"/>
                        </a:xfrm>
                        <a:prstGeom prst="rect"/>
                        <a:ln/>
                      </pic:spPr>
                    </pic:pic>
                  </a:graphicData>
                </a:graphic>
              </wp:anchor>
            </w:drawing>
          </w:r>
        </w:p>
        <w:p w:rsidR="00000000" w:rsidDel="00000000" w:rsidP="00000000" w:rsidRDefault="00000000" w:rsidRPr="00000000" w14:paraId="00000041">
          <w:pPr>
            <w:pageBreakBefore w:val="0"/>
            <w:tabs>
              <w:tab w:val="left" w:leader="none" w:pos="3280"/>
            </w:tabs>
            <w:rPr>
              <w:sz w:val="16"/>
              <w:szCs w:val="16"/>
            </w:rPr>
          </w:pPr>
          <w:r w:rsidDel="00000000" w:rsidR="00000000" w:rsidRPr="00000000">
            <w:rPr>
              <w:sz w:val="16"/>
              <w:szCs w:val="16"/>
              <w:rtl w:val="0"/>
            </w:rPr>
            <w:tab/>
          </w:r>
        </w:p>
      </w:tc>
      <w:tc>
        <w:tcPr>
          <w:tcMar>
            <w:left w:w="0.0" w:type="dxa"/>
            <w:right w:w="0.0" w:type="dxa"/>
          </w:tcMar>
        </w:tcPr>
        <w:p w:rsidR="00000000" w:rsidDel="00000000" w:rsidP="00000000" w:rsidRDefault="00000000" w:rsidRPr="00000000" w14:paraId="00000042">
          <w:pPr>
            <w:pageBreakBefore w:val="0"/>
            <w:jc w:val="right"/>
            <w:rPr>
              <w:sz w:val="16"/>
              <w:szCs w:val="16"/>
            </w:rPr>
          </w:pPr>
          <w:r w:rsidDel="00000000" w:rsidR="00000000" w:rsidRPr="00000000">
            <w:rPr>
              <w:rtl w:val="0"/>
            </w:rPr>
          </w:r>
        </w:p>
        <w:p w:rsidR="00000000" w:rsidDel="00000000" w:rsidP="00000000" w:rsidRDefault="00000000" w:rsidRPr="00000000" w14:paraId="00000043">
          <w:pPr>
            <w:pageBreakBefore w:val="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4">
    <w:pPr>
      <w:pageBreakBefore w:val="0"/>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300" w:lineRule="auto"/>
    </w:pPr>
    <w:rPr>
      <w:rFonts w:ascii="Calibri" w:hAnsi="Calibri"/>
      <w:sz w:val="22"/>
    </w:rPr>
  </w:style>
  <w:style w:type="paragraph" w:styleId="Heading1">
    <w:name w:val="heading 1"/>
    <w:basedOn w:val="Normal"/>
    <w:next w:val="Normal"/>
    <w:pPr>
      <w:keepNext w:val="1"/>
      <w:keepLines w:val="1"/>
      <w:pageBreakBefore w:val="0"/>
      <w:spacing w:after="120" w:before="400" w:lineRule="auto"/>
    </w:pPr>
    <w:rPr>
      <w:rFonts w:ascii="Calibri" w:hAnsi="Calibri"/>
      <w:b/>
      <w:color w:val="1F1410"/>
      <w:sz w:val="40"/>
      <w:szCs w:val="40"/>
    </w:rPr>
  </w:style>
  <w:style w:type="paragraph" w:styleId="Heading2">
    <w:name w:val="heading 2"/>
    <w:basedOn w:val="Normal"/>
    <w:next w:val="Normal"/>
    <w:pPr>
      <w:keepNext w:val="1"/>
      <w:keepLines w:val="1"/>
      <w:pageBreakBefore w:val="0"/>
      <w:spacing w:after="120" w:before="360" w:lineRule="auto"/>
    </w:pPr>
    <w:rPr>
      <w:rFonts w:ascii="Calibri" w:hAnsi="Calibri"/>
      <w:b/>
      <w:color w:val="1F1410"/>
      <w:sz w:val="28"/>
      <w:szCs w:val="32"/>
    </w:rPr>
  </w:style>
  <w:style w:type="paragraph" w:styleId="Heading3">
    <w:name w:val="heading 3"/>
    <w:basedOn w:val="Normal"/>
    <w:next w:val="Normal"/>
    <w:pPr>
      <w:keepNext w:val="1"/>
      <w:keepLines w:val="1"/>
      <w:pageBreakBefore w:val="0"/>
      <w:spacing w:after="80" w:before="320" w:lineRule="auto"/>
    </w:pPr>
    <w:rPr>
      <w:rFonts w:ascii="Calibri" w:hAnsi="Calibri"/>
      <w:b/>
      <w:bCs w:val="1"/>
      <w:color w:val="1F1410"/>
      <w:sz w:val="24"/>
      <w:szCs w:val="24"/>
    </w:rPr>
  </w:style>
  <w:style w:type="paragraph" w:styleId="Heading4">
    <w:name w:val="heading 4"/>
    <w:basedOn w:val="Normal"/>
    <w:next w:val="Normal"/>
    <w:pPr>
      <w:keepNext w:val="1"/>
      <w:keepLines w:val="1"/>
      <w:pageBreakBefore w:val="0"/>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tudent Name">
    <vt:lpwstr>Student Name</vt:lpwstr>
  </property>
  <property fmtid="{D5CDD505-2E9C-101B-9397-08002B2CF9AE}" pid="3" name="Hand-in Date">
    <vt:lpwstr>Hand-in Date</vt:lpwstr>
  </property>
  <property fmtid="{D5CDD505-2E9C-101B-9397-08002B2CF9AE}" pid="4" name="Title">
    <vt:lpwstr>Title</vt:lpwstr>
  </property>
</Properties>
</file>