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drawing>
          <wp:inline distT="0" distB="0" distL="0" distR="0">
            <wp:extent cx="140970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/>
      </w:pPr>
      <w:r>
        <w:rPr>
          <w:rFonts w:ascii="Arial" w:cs="Arial" w:eastAsia="Arial" w:hAnsi="Arial"/>
          <w:b/>
          <w:bCs/>
          <w:color w:val="1F2430"/>
          <w:sz w:val="34"/>
          <w:szCs w:val="34"/>
        </w:rPr>
        <w:t xml:space="preserve">POWERED BY MYERS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C9941F"/>
          <w:sz w:val="17"/>
          <w:szCs w:val="17"/>
        </w:rPr>
        <w:t xml:space="preserve">Partner Program — Draft v1 · July 2026 · Confidential</w:t>
      </w:r>
    </w:p>
    <w:p>
      <w:pPr>
        <w:spacing w:after="40" w:line="246"/>
      </w:pPr>
      <w:r>
        <w:rPr>
          <w:rFonts w:ascii="Arial" w:cs="Arial" w:eastAsia="Arial" w:hAnsi="Arial"/>
          <w:b/>
          <w:bCs/>
          <w:color w:val="1F2430"/>
          <w:sz w:val="20"/>
          <w:szCs w:val="20"/>
        </w:rPr>
        <w:t xml:space="preserve">This document is unfinished on purpose. </w:t>
      </w:r>
      <w:r>
        <w:rPr>
          <w:rFonts w:ascii="Arial" w:cs="Arial" w:eastAsia="Arial" w:hAnsi="Arial"/>
          <w:color w:val="1F2430"/>
          <w:sz w:val="20"/>
          <w:szCs w:val="20"/>
        </w:rPr>
        <w:t xml:space="preserve">We are designing our partner program with the operators we want in it — not for them. Read it, then tear it apart. What you mark up becomes the next version.</w:t>
      </w:r>
    </w:p>
    <w:p>
      <w:pPr>
        <w:pBdr>
          <w:bottom w:val="single" w:color="E5E0D5" w:sz="6"/>
        </w:pBdr>
        <w:spacing w:after="40" w:before="40"/>
      </w:pPr>
    </w:p>
    <w:p>
      <w:pPr>
        <w:spacing w:after="30" w:before="170"/>
      </w:pPr>
      <w:r>
        <w:rPr>
          <w:rFonts w:ascii="Arial" w:cs="Arial" w:eastAsia="Arial" w:hAnsi="Arial"/>
          <w:b/>
          <w:bCs/>
          <w:color w:val="C9941F"/>
          <w:spacing w:val="30"/>
          <w:sz w:val="15"/>
          <w:szCs w:val="15"/>
        </w:rPr>
        <w:t xml:space="preserve">THE MISSION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1F2430"/>
          <w:sz w:val="26"/>
          <w:szCs w:val="26"/>
        </w:rPr>
        <w:t xml:space="preserve">Myers is where agents become investors.</w:t>
      </w:r>
    </w:p>
    <w:p>
      <w:pPr>
        <w:spacing w:after="70" w:line="246"/>
      </w:pPr>
      <w:r>
        <w:rPr>
          <w:rFonts w:ascii="Arial" w:cs="Arial" w:eastAsia="Arial" w:hAnsi="Arial"/>
          <w:color w:val="1F2430"/>
          <w:sz w:val="20"/>
          <w:szCs w:val="20"/>
        </w:rPr>
        <w:t xml:space="preserve">Myers Home Buyers is a DFW investor-brokerage — 3,000+ transactions — where agents buy, flip, wholesale, and list on one license. The next chapter: powering entrepreneur-led teams. </w:t>
      </w:r>
      <w:r>
        <w:rPr>
          <w:rFonts w:ascii="Arial" w:cs="Arial" w:eastAsia="Arial" w:hAnsi="Arial"/>
          <w:b/>
          <w:bCs/>
          <w:color w:val="1F2430"/>
          <w:sz w:val="20"/>
          <w:szCs w:val="20"/>
        </w:rPr>
        <w:t xml:space="preserve">Your brand, your people, your business — running on our engine.</w:t>
      </w:r>
    </w:p>
    <w:p>
      <w:pPr>
        <w:spacing w:after="30" w:before="170"/>
      </w:pPr>
      <w:r>
        <w:rPr>
          <w:rFonts w:ascii="Arial" w:cs="Arial" w:eastAsia="Arial" w:hAnsi="Arial"/>
          <w:b/>
          <w:bCs/>
          <w:color w:val="C9941F"/>
          <w:spacing w:val="30"/>
          <w:sz w:val="15"/>
          <w:szCs w:val="15"/>
        </w:rPr>
        <w:t xml:space="preserve">WHAT WE BELIEVE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1F2430"/>
          <w:sz w:val="26"/>
          <w:szCs w:val="26"/>
        </w:rPr>
        <w:t xml:space="preserve">You built a business inside someone else’s.</w:t>
      </w:r>
    </w:p>
    <w:p>
      <w:pPr>
        <w:spacing w:after="70" w:line="246"/>
      </w:pPr>
      <w:r>
        <w:rPr>
          <w:rFonts w:ascii="Arial" w:cs="Arial" w:eastAsia="Arial" w:hAnsi="Arial"/>
          <w:color w:val="1F2430"/>
          <w:sz w:val="20"/>
          <w:szCs w:val="20"/>
        </w:rPr>
        <w:t xml:space="preserve">Team leaders hit the same ceiling everywhere: the structure above you was never designed for you to own the upside you create. A better split doesn’t fix that. </w:t>
      </w:r>
      <w:r>
        <w:rPr>
          <w:rFonts w:ascii="Arial" w:cs="Arial" w:eastAsia="Arial" w:hAnsi="Arial"/>
          <w:b/>
          <w:bCs/>
          <w:color w:val="1F2430"/>
          <w:sz w:val="20"/>
          <w:szCs w:val="20"/>
        </w:rPr>
        <w:t xml:space="preserve">Comp is table stakes. Ownership is the point.</w:t>
      </w:r>
    </w:p>
    <w:p>
      <w:pPr>
        <w:spacing w:after="30" w:before="170"/>
      </w:pPr>
      <w:r>
        <w:rPr>
          <w:rFonts w:ascii="Arial" w:cs="Arial" w:eastAsia="Arial" w:hAnsi="Arial"/>
          <w:b/>
          <w:bCs/>
          <w:color w:val="C9941F"/>
          <w:spacing w:val="30"/>
          <w:sz w:val="15"/>
          <w:szCs w:val="15"/>
        </w:rPr>
        <w:t xml:space="preserve">THE ENGINE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1F2430"/>
          <w:sz w:val="26"/>
          <w:szCs w:val="26"/>
        </w:rPr>
        <w:t xml:space="preserve">What Myers powers behind your name</w:t>
      </w:r>
    </w:p>
    <w:p>
      <w:pPr>
        <w:pStyle w:val="ListParagraph"/>
        <w:numPr>
          <w:ilvl w:val="0"/>
          <w:numId w:val="2"/>
        </w:numPr>
        <w:spacing w:after="40" w:line="244"/>
      </w:pPr>
      <w:r>
        <w:rPr>
          <w:rFonts w:ascii="Arial" w:cs="Arial" w:eastAsia="Arial" w:hAnsi="Arial"/>
          <w:b/>
          <w:bCs/>
          <w:color w:val="1F2430"/>
          <w:sz w:val="20"/>
          <w:szCs w:val="20"/>
        </w:rPr>
        <w:t xml:space="preserve">Broker of record who’s done it. </w:t>
      </w:r>
      <w:r>
        <w:rPr>
          <w:rFonts w:ascii="Arial" w:cs="Arial" w:eastAsia="Arial" w:hAnsi="Arial"/>
          <w:color w:val="1F2430"/>
          <w:sz w:val="20"/>
          <w:szCs w:val="20"/>
        </w:rPr>
        <w:t xml:space="preserve">Josh DeShong — 3,000+ houses flipped — hands-on through hard transactions, compliance, and structure.</w:t>
      </w:r>
    </w:p>
    <w:p>
      <w:pPr>
        <w:pStyle w:val="ListParagraph"/>
        <w:numPr>
          <w:ilvl w:val="0"/>
          <w:numId w:val="2"/>
        </w:numPr>
        <w:spacing w:after="40" w:line="244"/>
      </w:pPr>
      <w:r>
        <w:rPr>
          <w:rFonts w:ascii="Arial" w:cs="Arial" w:eastAsia="Arial" w:hAnsi="Arial"/>
          <w:b/>
          <w:bCs/>
          <w:color w:val="1F2430"/>
          <w:sz w:val="20"/>
          <w:szCs w:val="20"/>
        </w:rPr>
        <w:t xml:space="preserve">Deal flow + funding. </w:t>
      </w:r>
      <w:r>
        <w:rPr>
          <w:rFonts w:ascii="Arial" w:cs="Arial" w:eastAsia="Arial" w:hAnsi="Arial"/>
          <w:color w:val="1F2430"/>
          <w:sz w:val="20"/>
          <w:szCs w:val="20"/>
        </w:rPr>
        <w:t xml:space="preserve">Off-market pipeline from day one and transactional funding when a closing needs it. Contracts in your (or your entity’s) name.</w:t>
      </w:r>
    </w:p>
    <w:p>
      <w:pPr>
        <w:pStyle w:val="ListParagraph"/>
        <w:numPr>
          <w:ilvl w:val="0"/>
          <w:numId w:val="2"/>
        </w:numPr>
        <w:spacing w:after="40" w:line="244"/>
      </w:pPr>
      <w:r>
        <w:rPr>
          <w:rFonts w:ascii="Arial" w:cs="Arial" w:eastAsia="Arial" w:hAnsi="Arial"/>
          <w:b/>
          <w:bCs/>
          <w:color w:val="1F2430"/>
          <w:sz w:val="20"/>
          <w:szCs w:val="20"/>
        </w:rPr>
        <w:t xml:space="preserve">Carrot on day one. </w:t>
      </w:r>
      <w:r>
        <w:rPr>
          <w:rFonts w:ascii="Arial" w:cs="Arial" w:eastAsia="Arial" w:hAnsi="Arial"/>
          <w:color w:val="1F2430"/>
          <w:sz w:val="20"/>
          <w:szCs w:val="20"/>
        </w:rPr>
        <w:t xml:space="preserve">AI-driven website, CRM, and lead tools for every agent on your team — included at onboarding.</w:t>
      </w:r>
    </w:p>
    <w:p>
      <w:pPr>
        <w:pStyle w:val="ListParagraph"/>
        <w:numPr>
          <w:ilvl w:val="0"/>
          <w:numId w:val="2"/>
        </w:numPr>
        <w:spacing w:after="40" w:line="244"/>
      </w:pPr>
      <w:r>
        <w:rPr>
          <w:rFonts w:ascii="Arial" w:cs="Arial" w:eastAsia="Arial" w:hAnsi="Arial"/>
          <w:b/>
          <w:bCs/>
          <w:color w:val="1F2430"/>
          <w:sz w:val="20"/>
          <w:szCs w:val="20"/>
        </w:rPr>
        <w:t xml:space="preserve">Training that builds investors. </w:t>
      </w:r>
      <w:r>
        <w:rPr>
          <w:rFonts w:ascii="Arial" w:cs="Arial" w:eastAsia="Arial" w:hAnsi="Arial"/>
          <w:color w:val="1F2430"/>
          <w:sz w:val="20"/>
          <w:szCs w:val="20"/>
        </w:rPr>
        <w:t xml:space="preserve">Live weekly classes led by active investors — your agents learn to run numbers, quantify risk, and close.</w:t>
      </w:r>
    </w:p>
    <w:p>
      <w:pPr>
        <w:pStyle w:val="ListParagraph"/>
        <w:numPr>
          <w:ilvl w:val="0"/>
          <w:numId w:val="2"/>
        </w:numPr>
        <w:spacing w:after="40" w:line="244"/>
      </w:pPr>
      <w:r>
        <w:rPr>
          <w:rFonts w:ascii="Arial" w:cs="Arial" w:eastAsia="Arial" w:hAnsi="Arial"/>
          <w:b/>
          <w:bCs/>
          <w:color w:val="1F2430"/>
          <w:sz w:val="20"/>
          <w:szCs w:val="20"/>
        </w:rPr>
        <w:t xml:space="preserve">Five income streams on one license. </w:t>
      </w:r>
      <w:r>
        <w:rPr>
          <w:rFonts w:ascii="Arial" w:cs="Arial" w:eastAsia="Arial" w:hAnsi="Arial"/>
          <w:color w:val="1F2430"/>
          <w:sz w:val="20"/>
          <w:szCs w:val="20"/>
        </w:rPr>
        <w:t xml:space="preserve">Wholesale spreads, flip profits, brokerage commissions, six-level revenue share, and equity programs rolling out as we hit milestones.</w:t>
      </w:r>
    </w:p>
    <w:p>
      <w:pPr>
        <w:pStyle w:val="ListParagraph"/>
        <w:numPr>
          <w:ilvl w:val="0"/>
          <w:numId w:val="2"/>
        </w:numPr>
        <w:spacing w:after="40" w:line="244"/>
      </w:pPr>
      <w:r>
        <w:rPr>
          <w:rFonts w:ascii="Arial" w:cs="Arial" w:eastAsia="Arial" w:hAnsi="Arial"/>
          <w:b/>
          <w:bCs/>
          <w:color w:val="1F2430"/>
          <w:sz w:val="20"/>
          <w:szCs w:val="20"/>
        </w:rPr>
        <w:t xml:space="preserve">Back office that stays out of your way. </w:t>
      </w:r>
      <w:r>
        <w:rPr>
          <w:rFonts w:ascii="Arial" w:cs="Arial" w:eastAsia="Arial" w:hAnsi="Arial"/>
          <w:color w:val="1F2430"/>
          <w:sz w:val="20"/>
          <w:szCs w:val="20"/>
        </w:rPr>
        <w:t xml:space="preserve">Licensing, compliance, transaction support, and guardrails that protect the network’s quality — not your autonomy.</w:t>
      </w:r>
    </w:p>
    <w:p>
      <w:pPr>
        <w:spacing w:after="30" w:before="170"/>
      </w:pPr>
      <w:r>
        <w:rPr>
          <w:rFonts w:ascii="Arial" w:cs="Arial" w:eastAsia="Arial" w:hAnsi="Arial"/>
          <w:b/>
          <w:bCs/>
          <w:color w:val="C9941F"/>
          <w:spacing w:val="30"/>
          <w:sz w:val="15"/>
          <w:szCs w:val="15"/>
        </w:rPr>
        <w:t xml:space="preserve">WHAT YOU KEEP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1F2430"/>
          <w:sz w:val="26"/>
          <w:szCs w:val="26"/>
        </w:rPr>
        <w:t xml:space="preserve">Your name on the door</w:t>
      </w:r>
    </w:p>
    <w:p>
      <w:pPr>
        <w:spacing w:after="70" w:line="246"/>
      </w:pPr>
      <w:r>
        <w:rPr>
          <w:rFonts w:ascii="Arial" w:cs="Arial" w:eastAsia="Arial" w:hAnsi="Arial"/>
          <w:b/>
          <w:bCs/>
          <w:color w:val="1F2430"/>
          <w:sz w:val="20"/>
          <w:szCs w:val="20"/>
        </w:rPr>
        <w:t xml:space="preserve">Your brand: </w:t>
      </w:r>
      <w:r>
        <w:rPr>
          <w:rFonts w:ascii="Arial" w:cs="Arial" w:eastAsia="Arial" w:hAnsi="Arial"/>
          <w:color w:val="1F2430"/>
          <w:sz w:val="20"/>
          <w:szCs w:val="20"/>
        </w:rPr>
        <w:t xml:space="preserve">you stay who you are in your market — “Your Team, powered by Myers.” </w:t>
      </w:r>
      <w:r>
        <w:rPr>
          <w:rFonts w:ascii="Arial" w:cs="Arial" w:eastAsia="Arial" w:hAnsi="Arial"/>
          <w:b/>
          <w:bCs/>
          <w:color w:val="1F2430"/>
          <w:sz w:val="20"/>
          <w:szCs w:val="20"/>
        </w:rPr>
        <w:t xml:space="preserve">Your people: </w:t>
      </w:r>
      <w:r>
        <w:rPr>
          <w:rFonts w:ascii="Arial" w:cs="Arial" w:eastAsia="Arial" w:hAnsi="Arial"/>
          <w:color w:val="1F2430"/>
          <w:sz w:val="20"/>
          <w:szCs w:val="20"/>
        </w:rPr>
        <w:t xml:space="preserve">the operating unit moves with you — acquisitions, ISA, dispo, all of it. </w:t>
      </w:r>
      <w:r>
        <w:rPr>
          <w:rFonts w:ascii="Arial" w:cs="Arial" w:eastAsia="Arial" w:hAnsi="Arial"/>
          <w:b/>
          <w:bCs/>
          <w:color w:val="1F2430"/>
          <w:sz w:val="20"/>
          <w:szCs w:val="20"/>
        </w:rPr>
        <w:t xml:space="preserve">Your economics: </w:t>
      </w:r>
      <w:r>
        <w:rPr>
          <w:rFonts w:ascii="Arial" w:cs="Arial" w:eastAsia="Arial" w:hAnsi="Arial"/>
          <w:color w:val="1F2430"/>
          <w:sz w:val="20"/>
          <w:szCs w:val="20"/>
        </w:rPr>
        <w:t xml:space="preserve">agents at Myers keep 90% of the commission pool (80% direct + 10% agent revenue share). Partner-level terms — team structure, overrides, transition — are designed one-on-one and held confidential. We would rather build your structure with you than print a one-size-fits-all number here.</w:t>
      </w:r>
    </w:p>
    <w:p>
      <w:pPr>
        <w:spacing w:after="30" w:before="170"/>
      </w:pPr>
      <w:r>
        <w:rPr>
          <w:rFonts w:ascii="Arial" w:cs="Arial" w:eastAsia="Arial" w:hAnsi="Arial"/>
          <w:b/>
          <w:bCs/>
          <w:color w:val="C9941F"/>
          <w:spacing w:val="30"/>
          <w:sz w:val="15"/>
          <w:szCs w:val="15"/>
        </w:rPr>
        <w:t xml:space="preserve">THE FOUNDING PARTNER SEAT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1F2430"/>
          <w:sz w:val="26"/>
          <w:szCs w:val="26"/>
        </w:rPr>
        <w:t xml:space="preserve">First in shapes the program</w:t>
      </w:r>
    </w:p>
    <w:p>
      <w:pPr>
        <w:spacing w:after="70" w:line="246"/>
      </w:pPr>
      <w:r>
        <w:rPr>
          <w:rFonts w:ascii="Arial" w:cs="Arial" w:eastAsia="Arial" w:hAnsi="Arial"/>
          <w:color w:val="1F2430"/>
          <w:sz w:val="20"/>
          <w:szCs w:val="20"/>
        </w:rPr>
        <w:t xml:space="preserve">Our first two or three partners don’t join a finished program — they co-author it: what it promises, what it never promises, and how a team’s first 90 days should run. That seat comes with the most direct access to leadership this company will ever offer.</w:t>
      </w:r>
    </w:p>
    <w:p>
      <w:pPr>
        <w:spacing w:after="30" w:before="170"/>
      </w:pPr>
      <w:r>
        <w:rPr>
          <w:rFonts w:ascii="Arial" w:cs="Arial" w:eastAsia="Arial" w:hAnsi="Arial"/>
          <w:b/>
          <w:bCs/>
          <w:color w:val="C9941F"/>
          <w:spacing w:val="30"/>
          <w:sz w:val="15"/>
          <w:szCs w:val="15"/>
        </w:rPr>
        <w:t xml:space="preserve">PRESSURE-TEST US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1F2430"/>
          <w:sz w:val="26"/>
          <w:szCs w:val="26"/>
        </w:rPr>
        <w:t xml:space="preserve">Four questions we’re asking every operator we respect</w:t>
      </w:r>
    </w:p>
    <w:p>
      <w:pPr>
        <w:pStyle w:val="ListParagraph"/>
        <w:numPr>
          <w:ilvl w:val="0"/>
          <w:numId w:val="2"/>
        </w:numPr>
        <w:spacing w:after="40" w:line="244"/>
      </w:pPr>
      <w:r>
        <w:rPr>
          <w:rFonts w:ascii="Arial" w:cs="Arial" w:eastAsia="Arial" w:hAnsi="Arial"/>
          <w:color w:val="1F2430"/>
          <w:sz w:val="20"/>
          <w:szCs w:val="20"/>
        </w:rPr>
        <w:t xml:space="preserve">What would make this a no-brainer — and what’s missing?</w:t>
      </w:r>
    </w:p>
    <w:p>
      <w:pPr>
        <w:pStyle w:val="ListParagraph"/>
        <w:numPr>
          <w:ilvl w:val="0"/>
          <w:numId w:val="2"/>
        </w:numPr>
        <w:spacing w:after="40" w:line="244"/>
      </w:pPr>
      <w:r>
        <w:rPr>
          <w:rFonts w:ascii="Arial" w:cs="Arial" w:eastAsia="Arial" w:hAnsi="Arial"/>
          <w:color w:val="1F2430"/>
          <w:sz w:val="20"/>
          <w:szCs w:val="20"/>
        </w:rPr>
        <w:t xml:space="preserve">What would your team need in the first 90 days for the move to be a clear win?</w:t>
      </w:r>
    </w:p>
    <w:p>
      <w:pPr>
        <w:pStyle w:val="ListParagraph"/>
        <w:numPr>
          <w:ilvl w:val="0"/>
          <w:numId w:val="2"/>
        </w:numPr>
        <w:spacing w:after="40" w:line="244"/>
      </w:pPr>
      <w:r>
        <w:rPr>
          <w:rFonts w:ascii="Arial" w:cs="Arial" w:eastAsia="Arial" w:hAnsi="Arial"/>
          <w:color w:val="1F2430"/>
          <w:sz w:val="20"/>
          <w:szCs w:val="20"/>
        </w:rPr>
        <w:t xml:space="preserve">What should we never promise unless we can prove it?</w:t>
      </w:r>
    </w:p>
    <w:p>
      <w:pPr>
        <w:pStyle w:val="ListParagraph"/>
        <w:numPr>
          <w:ilvl w:val="0"/>
          <w:numId w:val="2"/>
        </w:numPr>
        <w:spacing w:after="40" w:line="244"/>
      </w:pPr>
      <w:r>
        <w:rPr>
          <w:rFonts w:ascii="Arial" w:cs="Arial" w:eastAsia="Arial" w:hAnsi="Arial"/>
          <w:color w:val="1F2430"/>
          <w:sz w:val="20"/>
          <w:szCs w:val="20"/>
        </w:rPr>
        <w:t xml:space="preserve">Who else should be in the room while this gets designed?</w:t>
      </w:r>
    </w:p>
    <w:p>
      <w:pPr>
        <w:pBdr>
          <w:bottom w:val="single" w:color="E5E0D5" w:sz="6"/>
        </w:pBdr>
        <w:spacing w:after="40" w:before="40"/>
      </w:pPr>
    </w:p>
    <w:p>
      <w:pPr>
        <w:spacing w:before="20"/>
      </w:pPr>
      <w:r>
        <w:rPr>
          <w:rFonts w:ascii="Arial" w:cs="Arial" w:eastAsia="Arial" w:hAnsi="Arial"/>
          <w:b/>
          <w:bCs/>
          <w:color w:val="5A6272"/>
          <w:sz w:val="16"/>
          <w:szCs w:val="16"/>
        </w:rPr>
        <w:t xml:space="preserve">Draft for discussion — not an offer. </w:t>
      </w:r>
      <w:r>
        <w:rPr>
          <w:rFonts w:ascii="Arial" w:cs="Arial" w:eastAsia="Arial" w:hAnsi="Arial"/>
          <w:color w:val="5A6272"/>
          <w:sz w:val="16"/>
          <w:szCs w:val="16"/>
        </w:rPr>
        <w:t xml:space="preserve">All figures illustrate the current comp structure, not projections or guarantees. Individual results vary. Myers Home Buyers is a Texas real estate brokerage · Josh DeShong, Broker of Record. · Contact: Jeanne Benton · jeanneclairebenton@gmail.com</w:t>
      </w:r>
    </w:p>
    <w:sectPr>
      <w:pgSz w:w="12240" w:h="15840" w:orient="portrait"/>
      <w:pgMar w:top="620" w:right="760" w:bottom="56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60"/>
      </w:pPr>
      <w:rPr>
        <w:b/>
        <w:bCs/>
        <w:color w:val="C9941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67e4c1d9db879ddfc67398e62f8b805dc4c97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2026-07-12T18:37:09.930Z</dcterms:created>
  <dcterms:modified xsi:type="dcterms:W3CDTF">2026-07-12T18:37:09.930Z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