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e43i36u8sex1"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2">
      <w:pPr>
        <w:numPr>
          <w:ilvl w:val="0"/>
          <w:numId w:val="1"/>
        </w:numPr>
        <w:spacing w:after="480" w:before="480" w:lineRule="auto"/>
        <w:ind w:left="720" w:hanging="360"/>
        <w:jc w:val="both"/>
      </w:pPr>
      <w:r w:rsidDel="00000000" w:rsidR="00000000" w:rsidRPr="00000000">
        <w:rPr>
          <w:rtl w:val="0"/>
        </w:rPr>
        <w:t xml:space="preserve">[INFO_HERE]</w:t>
      </w:r>
    </w:p>
    <w:p w:rsidR="00000000" w:rsidDel="00000000" w:rsidP="00000000" w:rsidRDefault="00000000" w:rsidRPr="00000000" w14:paraId="00000003">
      <w:pPr>
        <w:pStyle w:val="Heading3"/>
        <w:keepNext w:val="0"/>
        <w:keepLines w:val="0"/>
        <w:spacing w:before="280" w:lineRule="auto"/>
        <w:jc w:val="both"/>
        <w:rPr>
          <w:b w:val="1"/>
          <w:bCs w:val="1"/>
          <w:color w:val="000000"/>
          <w:sz w:val="26"/>
          <w:szCs w:val="26"/>
        </w:rPr>
      </w:pPr>
      <w:bookmarkStart w:colFirst="0" w:colLast="0" w:name="_t6m2uwnr84bl" w:id="1"/>
      <w:bookmarkEnd w:id="1"/>
      <w:r w:rsidDel="00000000" w:rsidR="00000000" w:rsidRPr="00000000">
        <w:rPr>
          <w:b w:val="1"/>
          <w:bCs w:val="1"/>
          <w:color w:val="000000"/>
          <w:sz w:val="26"/>
          <w:szCs w:val="26"/>
          <w:rtl w:val="0"/>
        </w:rPr>
        <w:t xml:space="preserve">Vision</w:t>
      </w:r>
    </w:p>
    <w:p w:rsidR="00000000" w:rsidDel="00000000" w:rsidP="00000000" w:rsidRDefault="00000000" w:rsidRPr="00000000" w14:paraId="00000004">
      <w:pPr>
        <w:numPr>
          <w:ilvl w:val="0"/>
          <w:numId w:val="1"/>
        </w:numPr>
        <w:spacing w:after="480" w:before="480" w:lineRule="auto"/>
        <w:ind w:left="720" w:hanging="360"/>
        <w:jc w:val="both"/>
      </w:pPr>
      <w:r w:rsidDel="00000000" w:rsidR="00000000" w:rsidRPr="00000000">
        <w:rPr>
          <w:rtl w:val="0"/>
        </w:rPr>
        <w:t xml:space="preserve">[INFO_HERE]</w:t>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4vxvtjarr870" w:id="2"/>
      <w:bookmarkEnd w:id="2"/>
      <w:r w:rsidDel="00000000" w:rsidR="00000000" w:rsidRPr="00000000">
        <w:rPr>
          <w:b w:val="1"/>
          <w:bCs w:val="1"/>
          <w:color w:val="000000"/>
          <w:sz w:val="26"/>
          <w:szCs w:val="26"/>
          <w:rtl w:val="0"/>
        </w:rPr>
        <w:t xml:space="preserve">Stakeholder Identification</w:t>
      </w:r>
    </w:p>
    <w:p w:rsidR="00000000" w:rsidDel="00000000" w:rsidP="00000000" w:rsidRDefault="00000000" w:rsidRPr="00000000" w14:paraId="00000006">
      <w:pPr>
        <w:numPr>
          <w:ilvl w:val="0"/>
          <w:numId w:val="1"/>
        </w:numPr>
        <w:spacing w:after="0" w:afterAutospacing="0" w:before="480" w:lineRule="auto"/>
        <w:ind w:left="720" w:hanging="360"/>
        <w:jc w:val="both"/>
      </w:pPr>
      <w:r w:rsidDel="00000000" w:rsidR="00000000" w:rsidRPr="00000000">
        <w:rPr>
          <w:rtl w:val="0"/>
        </w:rPr>
        <w:t xml:space="preserve">[INFO_HERE]</w:t>
      </w:r>
    </w:p>
    <w:p w:rsidR="00000000" w:rsidDel="00000000" w:rsidP="00000000" w:rsidRDefault="00000000" w:rsidRPr="00000000" w14:paraId="00000007">
      <w:pPr>
        <w:numPr>
          <w:ilvl w:val="0"/>
          <w:numId w:val="1"/>
        </w:numPr>
        <w:spacing w:after="480" w:before="0" w:beforeAutospacing="0" w:lineRule="auto"/>
        <w:ind w:left="720" w:hanging="360"/>
        <w:jc w:val="both"/>
        <w:rPr>
          <w:u w:val="none"/>
        </w:rPr>
      </w:pPr>
      <w:r w:rsidDel="00000000" w:rsidR="00000000" w:rsidRPr="00000000">
        <w:rPr>
          <w:rtl w:val="0"/>
        </w:rPr>
        <w:t xml:space="preserve">POWER / INTEREST GRID </w:t>
      </w:r>
    </w:p>
    <w:p w:rsidR="00000000" w:rsidDel="00000000" w:rsidP="00000000" w:rsidRDefault="00000000" w:rsidRPr="00000000" w14:paraId="00000008">
      <w:pPr>
        <w:rPr>
          <w:rFonts w:ascii="Poppins" w:cs="Poppins" w:eastAsia="Poppins" w:hAnsi="Poppins"/>
          <w:b w:val="1"/>
          <w:bCs w:val="1"/>
          <w:sz w:val="20"/>
          <w:szCs w:val="20"/>
        </w:rPr>
      </w:pPr>
      <w:r w:rsidDel="00000000" w:rsidR="00000000" w:rsidRPr="00000000">
        <w:rPr>
          <w:rtl w:val="0"/>
        </w:rPr>
      </w:r>
    </w:p>
    <w:tbl>
      <w:tblPr>
        <w:tblStyle w:val="Table1"/>
        <w:tblW w:w="8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70"/>
        <w:gridCol w:w="3495"/>
        <w:gridCol w:w="3495"/>
        <w:tblGridChange w:id="0">
          <w:tblGrid>
            <w:gridCol w:w="885"/>
            <w:gridCol w:w="870"/>
            <w:gridCol w:w="3495"/>
            <w:gridCol w:w="3495"/>
          </w:tblGrid>
        </w:tblGridChange>
      </w:tblGrid>
      <w:tr>
        <w:trPr>
          <w:cantSplit w:val="0"/>
          <w:trHeight w:val="1095" w:hRule="atLeast"/>
          <w:tblHeader w:val="0"/>
        </w:trPr>
        <w:tc>
          <w:tcPr>
            <w:vMerge w:val="restart"/>
            <w:vAlign w:val="center"/>
          </w:tcPr>
          <w:p w:rsidR="00000000" w:rsidDel="00000000" w:rsidP="00000000" w:rsidRDefault="00000000" w:rsidRPr="00000000" w14:paraId="00000009">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Power</w:t>
            </w:r>
          </w:p>
        </w:tc>
        <w:tc>
          <w:tcPr>
            <w:vAlign w:val="center"/>
          </w:tcPr>
          <w:p w:rsidR="00000000" w:rsidDel="00000000" w:rsidP="00000000" w:rsidRDefault="00000000" w:rsidRPr="00000000" w14:paraId="0000000A">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Keep Satisfied</w:t>
            </w:r>
          </w:p>
          <w:p w:rsidR="00000000" w:rsidDel="00000000" w:rsidP="00000000" w:rsidRDefault="00000000" w:rsidRPr="00000000" w14:paraId="0000000C">
            <w:pPr>
              <w:widowControl w:val="0"/>
              <w:numPr>
                <w:ilvl w:val="0"/>
                <w:numId w:val="4"/>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i w:val="1"/>
                <w:iCs w:val="1"/>
                <w:sz w:val="20"/>
                <w:szCs w:val="20"/>
                <w:rtl w:val="0"/>
              </w:rPr>
              <w:t xml:space="preserve">These stakeholders have significant influence or control over bottlenecks, but they aren't involved in the daily weeds of the project. You need to ensure their requirements are met so they don't become blockers. </w:t>
            </w: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Manage Closely</w:t>
            </w:r>
          </w:p>
          <w:p w:rsidR="00000000" w:rsidDel="00000000" w:rsidP="00000000" w:rsidRDefault="00000000" w:rsidRPr="00000000" w14:paraId="0000000E">
            <w:pPr>
              <w:widowControl w:val="0"/>
              <w:numPr>
                <w:ilvl w:val="0"/>
                <w:numId w:val="3"/>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i w:val="1"/>
                <w:iCs w:val="1"/>
                <w:sz w:val="20"/>
                <w:szCs w:val="20"/>
                <w:rtl w:val="0"/>
              </w:rPr>
              <w:t xml:space="preserve">These are your key players. They are deeply involved in the project's success and have the authority or critical resources to make or break it.</w:t>
            </w:r>
            <w:r w:rsidDel="00000000" w:rsidR="00000000" w:rsidRPr="00000000">
              <w:rPr>
                <w:rFonts w:ascii="Poppins" w:cs="Poppins" w:eastAsia="Poppins" w:hAnsi="Poppins"/>
                <w:sz w:val="20"/>
                <w:szCs w:val="20"/>
                <w:rtl w:val="0"/>
              </w:rPr>
              <w:t xml:space="preserve">]</w:t>
            </w:r>
          </w:p>
        </w:tc>
      </w:tr>
      <w:tr>
        <w:trPr>
          <w:cantSplit w:val="0"/>
          <w:trHeight w:val="94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Poppins" w:cs="Poppins" w:eastAsia="Poppins" w:hAnsi="Poppins"/>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Monitor</w:t>
            </w:r>
          </w:p>
          <w:p w:rsidR="00000000" w:rsidDel="00000000" w:rsidP="00000000" w:rsidRDefault="00000000" w:rsidRPr="00000000" w14:paraId="00000012">
            <w:pPr>
              <w:widowControl w:val="0"/>
              <w:numPr>
                <w:ilvl w:val="0"/>
                <w:numId w:val="5"/>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i w:val="1"/>
                <w:iCs w:val="1"/>
                <w:sz w:val="20"/>
                <w:szCs w:val="20"/>
                <w:rtl w:val="0"/>
              </w:rPr>
              <w:t xml:space="preserve">These require minimal effort right now. You just need to keep an eye out to ensure their status doesn't change. </w:t>
            </w: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Keep Informed</w:t>
            </w:r>
          </w:p>
          <w:p w:rsidR="00000000" w:rsidDel="00000000" w:rsidP="00000000" w:rsidRDefault="00000000" w:rsidRPr="00000000" w14:paraId="00000014">
            <w:pPr>
              <w:widowControl w:val="0"/>
              <w:numPr>
                <w:ilvl w:val="0"/>
                <w:numId w:val="9"/>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i w:val="1"/>
                <w:iCs w:val="1"/>
                <w:sz w:val="20"/>
                <w:szCs w:val="20"/>
                <w:rtl w:val="0"/>
              </w:rPr>
              <w:t xml:space="preserve">This is typically your core execution team. They are highly invested in the work because they are building it, but they rely on leadership to manage the overarching strategy, timeline, and roadblocks.</w:t>
            </w:r>
            <w:r w:rsidDel="00000000" w:rsidR="00000000" w:rsidRPr="00000000">
              <w:rPr>
                <w:rFonts w:ascii="Poppins" w:cs="Poppins" w:eastAsia="Poppins" w:hAnsi="Poppins"/>
                <w:sz w:val="20"/>
                <w:szCs w:val="20"/>
                <w:rtl w:val="0"/>
              </w:rPr>
              <w:t xml:space="preserve">]</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rFonts w:ascii="Poppins" w:cs="Poppins" w:eastAsia="Poppins" w:hAnsi="Poppins"/>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High</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Poppins" w:cs="Poppins" w:eastAsia="Poppins" w:hAnsi="Poppins"/>
                <w:b w:val="1"/>
                <w:bCs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Interest</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gpfi2tf085t" w:id="3"/>
      <w:bookmarkEnd w:id="3"/>
      <w:r w:rsidDel="00000000" w:rsidR="00000000" w:rsidRPr="00000000">
        <w:rPr>
          <w:b w:val="1"/>
          <w:bCs w:val="1"/>
          <w:color w:val="000000"/>
          <w:sz w:val="26"/>
          <w:szCs w:val="26"/>
          <w:rtl w:val="0"/>
        </w:rPr>
        <w:t xml:space="preserve">Requirements</w:t>
      </w:r>
    </w:p>
    <w:p w:rsidR="00000000" w:rsidDel="00000000" w:rsidP="00000000" w:rsidRDefault="00000000" w:rsidRPr="00000000" w14:paraId="0000001F">
      <w:pPr>
        <w:numPr>
          <w:ilvl w:val="0"/>
          <w:numId w:val="1"/>
        </w:numPr>
        <w:spacing w:after="0" w:afterAutospacing="0" w:before="480" w:lineRule="auto"/>
        <w:ind w:left="720" w:hanging="360"/>
        <w:jc w:val="both"/>
      </w:pPr>
      <w:r w:rsidDel="00000000" w:rsidR="00000000" w:rsidRPr="00000000">
        <w:rPr>
          <w:rtl w:val="0"/>
        </w:rPr>
        <w:t xml:space="preserve">[INFO_HERE]</w:t>
      </w:r>
    </w:p>
    <w:p w:rsidR="00000000" w:rsidDel="00000000" w:rsidP="00000000" w:rsidRDefault="00000000" w:rsidRPr="00000000" w14:paraId="00000020">
      <w:pPr>
        <w:numPr>
          <w:ilvl w:val="0"/>
          <w:numId w:val="1"/>
        </w:numPr>
        <w:spacing w:after="480" w:before="0" w:beforeAutospacing="0" w:lineRule="auto"/>
        <w:ind w:left="720" w:hanging="360"/>
        <w:jc w:val="both"/>
        <w:rPr>
          <w:u w:val="none"/>
        </w:rPr>
      </w:pPr>
      <w:r w:rsidDel="00000000" w:rsidR="00000000" w:rsidRPr="00000000">
        <w:rPr>
          <w:rtl w:val="0"/>
        </w:rPr>
        <w:t xml:space="preserve">MoSCoW Matrix</w:t>
      </w:r>
    </w:p>
    <w:tbl>
      <w:tblPr>
        <w:tblStyle w:val="Table2"/>
        <w:tblW w:w="88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410"/>
        <w:tblGridChange w:id="0">
          <w:tblGrid>
            <w:gridCol w:w="441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Must Have</w:t>
            </w:r>
          </w:p>
          <w:p w:rsidR="00000000" w:rsidDel="00000000" w:rsidP="00000000" w:rsidRDefault="00000000" w:rsidRPr="00000000" w14:paraId="000000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Should Have</w:t>
            </w:r>
          </w:p>
          <w:p w:rsidR="00000000" w:rsidDel="00000000" w:rsidP="00000000" w:rsidRDefault="00000000" w:rsidRPr="00000000" w14:paraId="000000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Could Have</w:t>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Won’t Have</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r>
          </w:p>
        </w:tc>
      </w:tr>
    </w:tbl>
    <w:p w:rsidR="00000000" w:rsidDel="00000000" w:rsidP="00000000" w:rsidRDefault="00000000" w:rsidRPr="00000000" w14:paraId="00000029">
      <w:pPr>
        <w:spacing w:after="480" w:before="480" w:lineRule="auto"/>
        <w:ind w:left="0" w:firstLine="0"/>
        <w:jc w:val="both"/>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cyqqoj9feld4" w:id="4"/>
      <w:bookmarkEnd w:id="4"/>
      <w:r w:rsidDel="00000000" w:rsidR="00000000" w:rsidRPr="00000000">
        <w:rPr>
          <w:b w:val="1"/>
          <w:bCs w:val="1"/>
          <w:color w:val="000000"/>
          <w:sz w:val="26"/>
          <w:szCs w:val="26"/>
          <w:rtl w:val="0"/>
        </w:rPr>
        <w:t xml:space="preserve">Scope Definitions</w:t>
      </w:r>
    </w:p>
    <w:p w:rsidR="00000000" w:rsidDel="00000000" w:rsidP="00000000" w:rsidRDefault="00000000" w:rsidRPr="00000000" w14:paraId="0000002B">
      <w:pPr>
        <w:numPr>
          <w:ilvl w:val="0"/>
          <w:numId w:val="2"/>
        </w:numPr>
        <w:spacing w:after="0" w:afterAutospacing="0" w:before="720" w:lineRule="auto"/>
        <w:ind w:left="720" w:hanging="360"/>
        <w:jc w:val="both"/>
        <w:rPr/>
      </w:pPr>
      <w:r w:rsidDel="00000000" w:rsidR="00000000" w:rsidRPr="00000000">
        <w:rPr>
          <w:rtl w:val="0"/>
        </w:rPr>
        <w:t xml:space="preserve">IN-SCOPE</w:t>
      </w:r>
    </w:p>
    <w:p w:rsidR="00000000" w:rsidDel="00000000" w:rsidP="00000000" w:rsidRDefault="00000000" w:rsidRPr="00000000" w14:paraId="0000002C">
      <w:pPr>
        <w:numPr>
          <w:ilvl w:val="1"/>
          <w:numId w:val="2"/>
        </w:numPr>
        <w:spacing w:after="0" w:afterAutospacing="0" w:before="0" w:beforeAutospacing="0" w:lineRule="auto"/>
        <w:ind w:left="1440" w:hanging="360"/>
        <w:jc w:val="both"/>
      </w:pPr>
      <w:r w:rsidDel="00000000" w:rsidR="00000000" w:rsidRPr="00000000">
        <w:rPr>
          <w:rtl w:val="0"/>
        </w:rPr>
        <w:t xml:space="preserve">[INFO_HERE]</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OUT-OF-SCOPE</w:t>
      </w:r>
    </w:p>
    <w:p w:rsidR="00000000" w:rsidDel="00000000" w:rsidP="00000000" w:rsidRDefault="00000000" w:rsidRPr="00000000" w14:paraId="0000002E">
      <w:pPr>
        <w:numPr>
          <w:ilvl w:val="1"/>
          <w:numId w:val="2"/>
        </w:numPr>
        <w:spacing w:after="0" w:afterAutospacing="0" w:before="0" w:beforeAutospacing="0" w:lineRule="auto"/>
        <w:ind w:left="1440" w:hanging="360"/>
        <w:jc w:val="both"/>
      </w:pPr>
      <w:r w:rsidDel="00000000" w:rsidR="00000000" w:rsidRPr="00000000">
        <w:rPr>
          <w:rtl w:val="0"/>
        </w:rPr>
        <w:t xml:space="preserve">[INFO_HERE]</w:t>
      </w:r>
    </w:p>
    <w:p w:rsidR="00000000" w:rsidDel="00000000" w:rsidP="00000000" w:rsidRDefault="00000000" w:rsidRPr="00000000" w14:paraId="0000002F">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CONSTRAINTS</w:t>
      </w:r>
    </w:p>
    <w:p w:rsidR="00000000" w:rsidDel="00000000" w:rsidP="00000000" w:rsidRDefault="00000000" w:rsidRPr="00000000" w14:paraId="00000030">
      <w:pPr>
        <w:numPr>
          <w:ilvl w:val="1"/>
          <w:numId w:val="2"/>
        </w:numPr>
        <w:spacing w:after="480" w:before="0" w:beforeAutospacing="0" w:lineRule="auto"/>
        <w:ind w:left="1440" w:hanging="360"/>
        <w:jc w:val="both"/>
      </w:pPr>
      <w:r w:rsidDel="00000000" w:rsidR="00000000" w:rsidRPr="00000000">
        <w:rPr>
          <w:rtl w:val="0"/>
        </w:rPr>
        <w:t xml:space="preserve">[INFO_HERE]</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e6qyp7pbt9zw" w:id="5"/>
      <w:bookmarkEnd w:id="5"/>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32">
      <w:pPr>
        <w:numPr>
          <w:ilvl w:val="0"/>
          <w:numId w:val="2"/>
        </w:numPr>
        <w:spacing w:after="0" w:afterAutospacing="0" w:before="720" w:lineRule="auto"/>
        <w:ind w:left="720" w:hanging="360"/>
        <w:jc w:val="both"/>
      </w:pPr>
      <w:r w:rsidDel="00000000" w:rsidR="00000000" w:rsidRPr="00000000">
        <w:rPr>
          <w:rtl w:val="0"/>
        </w:rPr>
        <w:t xml:space="preserve">QUANTITATIVE METRICS</w:t>
      </w:r>
    </w:p>
    <w:p w:rsidR="00000000" w:rsidDel="00000000" w:rsidP="00000000" w:rsidRDefault="00000000" w:rsidRPr="00000000" w14:paraId="00000033">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[INFO HERE]</w:t>
      </w:r>
    </w:p>
    <w:p w:rsidR="00000000" w:rsidDel="00000000" w:rsidP="00000000" w:rsidRDefault="00000000" w:rsidRPr="00000000" w14:paraId="00000034">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QUALITATIVE METRICS</w:t>
      </w:r>
    </w:p>
    <w:p w:rsidR="00000000" w:rsidDel="00000000" w:rsidP="00000000" w:rsidRDefault="00000000" w:rsidRPr="00000000" w14:paraId="00000035">
      <w:pPr>
        <w:numPr>
          <w:ilvl w:val="1"/>
          <w:numId w:val="2"/>
        </w:numPr>
        <w:spacing w:after="720" w:before="0" w:beforeAutospacing="0" w:lineRule="auto"/>
        <w:ind w:left="1440" w:hanging="360"/>
        <w:jc w:val="both"/>
        <w:rPr>
          <w:u w:val="none"/>
        </w:rPr>
      </w:pPr>
      <w:r w:rsidDel="00000000" w:rsidR="00000000" w:rsidRPr="00000000">
        <w:rPr>
          <w:rtl w:val="0"/>
        </w:rPr>
        <w:t xml:space="preserve">[INFO HERE]</w:t>
      </w:r>
      <w:r w:rsidDel="00000000" w:rsidR="00000000" w:rsidRPr="00000000">
        <w:rPr>
          <w:rtl w:val="0"/>
        </w:rPr>
      </w:r>
    </w:p>
    <w:p w:rsidR="00000000" w:rsidDel="00000000" w:rsidP="00000000" w:rsidRDefault="00000000" w:rsidRPr="00000000" w14:paraId="00000036">
      <w:pPr>
        <w:spacing w:after="480" w:before="48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