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before="0" w:after="80"/>
        <w:jc w:val="center"/>
      </w:pPr>
      <w:r>
        <w:rPr>
          <w:rFonts w:ascii="Arial" w:cs="Arial" w:eastAsia="Arial" w:hAnsi="Arial"/>
          <w:b/>
          <w:bCs/>
          <w:color w:val="1F3A8F"/>
          <w:sz w:val="52"/>
          <w:szCs w:val="52"/>
        </w:rPr>
        <w:t xml:space="preserve">AEGIS CIRCULAR</w:t>
      </w:r>
    </w:p>
    <w:p>
      <w:pPr>
        <w:spacing w:before="0" w:after="200"/>
        <w:jc w:val="center"/>
      </w:pPr>
      <w:r>
        <w:rPr>
          <w:rFonts w:ascii="Arial" w:cs="Arial" w:eastAsia="Arial" w:hAnsi="Arial"/>
          <w:i/>
          <w:iCs/>
          <w:color w:val="666666"/>
          <w:sz w:val="28"/>
          <w:szCs w:val="28"/>
        </w:rPr>
        <w:t xml:space="preserve">jeanpierrecharles.com</w:t>
      </w:r>
    </w:p>
    <w:p>
      <w:pPr>
        <w:pBdr>
          <w:bottom w:val="single" w:color="1F3A8F" w:sz="6" w:space="1"/>
        </w:pBdr>
        <w:spacing w:before="200" w:after="200"/>
      </w:pPr>
    </w:p>
    <w:p>
      <w:pPr>
        <w:spacing w:before="240" w:after="80"/>
        <w:jc w:val="center"/>
      </w:pPr>
      <w:r>
        <w:rPr>
          <w:rFonts w:ascii="Arial" w:cs="Arial" w:eastAsia="Arial" w:hAnsi="Arial"/>
          <w:b/>
          <w:bCs/>
          <w:color w:val="1A1A2E"/>
          <w:sz w:val="36"/>
          <w:szCs w:val="36"/>
        </w:rPr>
        <w:t xml:space="preserve">STRATEGIC EXECUTIVE REPORT</w:t>
      </w:r>
    </w:p>
    <w:p>
      <w:pPr>
        <w:spacing w:before="0" w:after="80"/>
        <w:jc w:val="center"/>
      </w:pPr>
      <w:r>
        <w:rPr>
          <w:rFonts w:ascii="Arial" w:cs="Arial" w:eastAsia="Arial" w:hAnsi="Arial"/>
          <w:b/>
          <w:bCs/>
          <w:color w:val="C0392B"/>
          <w:sz w:val="26"/>
          <w:szCs w:val="26"/>
        </w:rPr>
        <w:t xml:space="preserve">Infosys-Anthropic Partnership: Strategic Intelligence &amp; Impact Recommendations</w:t>
      </w:r>
    </w:p>
    <w:p>
      <w:pPr>
        <w:spacing w:before="0" w:after="200"/>
        <w:jc w:val="center"/>
      </w:pPr>
      <w:r>
        <w:rPr>
          <w:rFonts w:ascii="Arial" w:cs="Arial" w:eastAsia="Arial" w:hAnsi="Arial"/>
          <w:i/>
          <w:iCs/>
          <w:color w:val="666666"/>
          <w:sz w:val="24"/>
          <w:szCs w:val="24"/>
        </w:rPr>
        <w:t xml:space="preserve">for AEGIS CIRCULAR Development</w:t>
      </w:r>
    </w:p>
    <w:p>
      <w:pPr>
        <w:pBdr>
          <w:bottom w:val="single" w:color="C0392B" w:sz="6" w:space="1"/>
        </w:pBdr>
        <w:spacing w:before="200" w:after="200"/>
      </w:pPr>
    </w:p>
    <w:p>
      <w:pPr>
        <w:spacing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EEF9" w:val="clear"/>
            <w:tcMar>
              <w:top w:type="dxa" w:w="100"/>
              <w:left w:type="dxa" w:w="160"/>
              <w:bottom w:type="dxa" w:w="100"/>
              <w:right w:type="dxa" w:w="120"/>
            </w:tcMar>
          </w:tcPr>
          <w:p>
            <w:r>
              <w:rPr>
                <w:rFonts w:ascii="Arial" w:cs="Arial" w:eastAsia="Arial" w:hAnsi="Arial"/>
                <w:b/>
                <w:bCs/>
                <w:color w:val="1F3A8F"/>
                <w:sz w:val="21"/>
                <w:szCs w:val="21"/>
              </w:rPr>
              <w:t xml:space="preserve">Reference</w:t>
            </w:r>
          </w:p>
        </w:tc>
        <w:tc>
          <w:tcPr>
            <w:tcW w:type="dxa" w:w="6360"/>
            <w:tcBorders>
              <w:top w:val="single" w:color="CCCCCC" w:sz="1"/>
              <w:left w:val="single" w:color="CCCCCC" w:sz="1"/>
              <w:bottom w:val="single" w:color="CCCCCC" w:sz="1"/>
              <w:right w:val="single" w:color="CCCCCC" w:sz="1"/>
            </w:tcBorders>
            <w:shd w:fill="FAFBFE" w:val="clear"/>
            <w:tcMar>
              <w:top w:type="dxa" w:w="100"/>
              <w:left w:type="dxa" w:w="160"/>
              <w:bottom w:type="dxa" w:w="100"/>
              <w:right w:type="dxa" w:w="120"/>
            </w:tcMar>
          </w:tcPr>
          <w:p>
            <w:r>
              <w:rPr>
                <w:rFonts w:ascii="Arial" w:cs="Arial" w:eastAsia="Arial" w:hAnsi="Arial"/>
                <w:color w:val="1A1A2E"/>
                <w:sz w:val="21"/>
                <w:szCs w:val="21"/>
              </w:rPr>
              <w:t xml:space="preserve">AEGIS-SR-20260218-001</w:t>
            </w:r>
          </w:p>
        </w:tc>
      </w:tr>
      <w:tr>
        <w:tc>
          <w:tcPr>
            <w:tcW w:type="dxa" w:w="3000"/>
            <w:tcBorders>
              <w:top w:val="single" w:color="CCCCCC" w:sz="1"/>
              <w:left w:val="single" w:color="CCCCCC" w:sz="1"/>
              <w:bottom w:val="single" w:color="CCCCCC" w:sz="1"/>
              <w:right w:val="single" w:color="CCCCCC" w:sz="1"/>
            </w:tcBorders>
            <w:shd w:fill="F4F6FC" w:val="clear"/>
            <w:tcMar>
              <w:top w:type="dxa" w:w="100"/>
              <w:left w:type="dxa" w:w="160"/>
              <w:bottom w:type="dxa" w:w="100"/>
              <w:right w:type="dxa" w:w="120"/>
            </w:tcMar>
          </w:tcPr>
          <w:p>
            <w:r>
              <w:rPr>
                <w:rFonts w:ascii="Arial" w:cs="Arial" w:eastAsia="Arial" w:hAnsi="Arial"/>
                <w:b/>
                <w:bCs/>
                <w:color w:val="1F3A8F"/>
                <w:sz w:val="21"/>
                <w:szCs w:val="21"/>
              </w:rPr>
              <w:t xml:space="preserve">Date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color w:val="1A1A2E"/>
                <w:sz w:val="21"/>
                <w:szCs w:val="21"/>
              </w:rPr>
              <w:t xml:space="preserve">February 18, 2026</w:t>
            </w:r>
          </w:p>
        </w:tc>
      </w:tr>
      <w:tr>
        <w:tc>
          <w:tcPr>
            <w:tcW w:type="dxa" w:w="3000"/>
            <w:tcBorders>
              <w:top w:val="single" w:color="CCCCCC" w:sz="1"/>
              <w:left w:val="single" w:color="CCCCCC" w:sz="1"/>
              <w:bottom w:val="single" w:color="CCCCCC" w:sz="1"/>
              <w:right w:val="single" w:color="CCCCCC" w:sz="1"/>
            </w:tcBorders>
            <w:shd w:fill="E8EEF9" w:val="clear"/>
            <w:tcMar>
              <w:top w:type="dxa" w:w="100"/>
              <w:left w:type="dxa" w:w="160"/>
              <w:bottom w:type="dxa" w:w="100"/>
              <w:right w:type="dxa" w:w="120"/>
            </w:tcMar>
          </w:tcPr>
          <w:p>
            <w:r>
              <w:rPr>
                <w:rFonts w:ascii="Arial" w:cs="Arial" w:eastAsia="Arial" w:hAnsi="Arial"/>
                <w:b/>
                <w:bCs/>
                <w:color w:val="1F3A8F"/>
                <w:sz w:val="21"/>
                <w:szCs w:val="21"/>
              </w:rPr>
              <w:t xml:space="preserve">Classification</w:t>
            </w:r>
          </w:p>
        </w:tc>
        <w:tc>
          <w:tcPr>
            <w:tcW w:type="dxa" w:w="6360"/>
            <w:tcBorders>
              <w:top w:val="single" w:color="CCCCCC" w:sz="1"/>
              <w:left w:val="single" w:color="CCCCCC" w:sz="1"/>
              <w:bottom w:val="single" w:color="CCCCCC" w:sz="1"/>
              <w:right w:val="single" w:color="CCCCCC" w:sz="1"/>
            </w:tcBorders>
            <w:shd w:fill="FAFBFE" w:val="clear"/>
            <w:tcMar>
              <w:top w:type="dxa" w:w="100"/>
              <w:left w:type="dxa" w:w="160"/>
              <w:bottom w:type="dxa" w:w="100"/>
              <w:right w:type="dxa" w:w="120"/>
            </w:tcMar>
          </w:tcPr>
          <w:p>
            <w:r>
              <w:rPr>
                <w:rFonts w:ascii="Arial" w:cs="Arial" w:eastAsia="Arial" w:hAnsi="Arial"/>
                <w:color w:val="1A1A2E"/>
                <w:sz w:val="21"/>
                <w:szCs w:val="21"/>
              </w:rPr>
              <w:t xml:space="preserve">Strategic — Confidential</w:t>
            </w:r>
          </w:p>
        </w:tc>
      </w:tr>
      <w:tr>
        <w:tc>
          <w:tcPr>
            <w:tcW w:type="dxa" w:w="3000"/>
            <w:tcBorders>
              <w:top w:val="single" w:color="CCCCCC" w:sz="1"/>
              <w:left w:val="single" w:color="CCCCCC" w:sz="1"/>
              <w:bottom w:val="single" w:color="CCCCCC" w:sz="1"/>
              <w:right w:val="single" w:color="CCCCCC" w:sz="1"/>
            </w:tcBorders>
            <w:shd w:fill="F4F6FC" w:val="clear"/>
            <w:tcMar>
              <w:top w:type="dxa" w:w="100"/>
              <w:left w:type="dxa" w:w="160"/>
              <w:bottom w:type="dxa" w:w="100"/>
              <w:right w:type="dxa" w:w="120"/>
            </w:tcMar>
          </w:tcPr>
          <w:p>
            <w:r>
              <w:rPr>
                <w:rFonts w:ascii="Arial" w:cs="Arial" w:eastAsia="Arial" w:hAnsi="Arial"/>
                <w:b/>
                <w:bCs/>
                <w:color w:val="1F3A8F"/>
                <w:sz w:val="21"/>
                <w:szCs w:val="21"/>
              </w:rPr>
              <w:t xml:space="preserve">Author</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color w:val="1A1A2E"/>
                <w:sz w:val="21"/>
                <w:szCs w:val="21"/>
              </w:rPr>
              <w:t xml:space="preserve">Jean-Pierre Charles — Expert Industrie 5.0 &amp; EU Compliance</w:t>
            </w:r>
          </w:p>
        </w:tc>
      </w:tr>
      <w:tr>
        <w:tc>
          <w:tcPr>
            <w:tcW w:type="dxa" w:w="3000"/>
            <w:tcBorders>
              <w:top w:val="single" w:color="CCCCCC" w:sz="1"/>
              <w:left w:val="single" w:color="CCCCCC" w:sz="1"/>
              <w:bottom w:val="single" w:color="CCCCCC" w:sz="1"/>
              <w:right w:val="single" w:color="CCCCCC" w:sz="1"/>
            </w:tcBorders>
            <w:shd w:fill="E8EEF9" w:val="clear"/>
            <w:tcMar>
              <w:top w:type="dxa" w:w="100"/>
              <w:left w:type="dxa" w:w="160"/>
              <w:bottom w:type="dxa" w:w="100"/>
              <w:right w:type="dxa" w:w="120"/>
            </w:tcMar>
          </w:tcPr>
          <w:p>
            <w:r>
              <w:rPr>
                <w:rFonts w:ascii="Arial" w:cs="Arial" w:eastAsia="Arial" w:hAnsi="Arial"/>
                <w:b/>
                <w:bCs/>
                <w:color w:val="1F3A8F"/>
                <w:sz w:val="21"/>
                <w:szCs w:val="21"/>
              </w:rPr>
              <w:t xml:space="preserve">Version</w:t>
            </w:r>
          </w:p>
        </w:tc>
        <w:tc>
          <w:tcPr>
            <w:tcW w:type="dxa" w:w="6360"/>
            <w:tcBorders>
              <w:top w:val="single" w:color="CCCCCC" w:sz="1"/>
              <w:left w:val="single" w:color="CCCCCC" w:sz="1"/>
              <w:bottom w:val="single" w:color="CCCCCC" w:sz="1"/>
              <w:right w:val="single" w:color="CCCCCC" w:sz="1"/>
            </w:tcBorders>
            <w:shd w:fill="FAFBFE" w:val="clear"/>
            <w:tcMar>
              <w:top w:type="dxa" w:w="100"/>
              <w:left w:type="dxa" w:w="160"/>
              <w:bottom w:type="dxa" w:w="100"/>
              <w:right w:type="dxa" w:w="120"/>
            </w:tcMar>
          </w:tcPr>
          <w:p>
            <w:r>
              <w:rPr>
                <w:rFonts w:ascii="Arial" w:cs="Arial" w:eastAsia="Arial" w:hAnsi="Arial"/>
                <w:color w:val="1A1A2E"/>
                <w:sz w:val="21"/>
                <w:szCs w:val="21"/>
              </w:rPr>
              <w:t xml:space="preserve">1.0 — Final</w:t>
            </w:r>
          </w:p>
        </w:tc>
      </w:tr>
      <w:tr>
        <w:tc>
          <w:tcPr>
            <w:tcW w:type="dxa" w:w="3000"/>
            <w:tcBorders>
              <w:top w:val="single" w:color="CCCCCC" w:sz="1"/>
              <w:left w:val="single" w:color="CCCCCC" w:sz="1"/>
              <w:bottom w:val="single" w:color="CCCCCC" w:sz="1"/>
              <w:right w:val="single" w:color="CCCCCC" w:sz="1"/>
            </w:tcBorders>
            <w:shd w:fill="F4F6FC" w:val="clear"/>
            <w:tcMar>
              <w:top w:type="dxa" w:w="100"/>
              <w:left w:type="dxa" w:w="160"/>
              <w:bottom w:type="dxa" w:w="100"/>
              <w:right w:type="dxa" w:w="120"/>
            </w:tcMar>
          </w:tcPr>
          <w:p>
            <w:r>
              <w:rPr>
                <w:rFonts w:ascii="Arial" w:cs="Arial" w:eastAsia="Arial" w:hAnsi="Arial"/>
                <w:b/>
                <w:bCs/>
                <w:color w:val="1F3A8F"/>
                <w:sz w:val="21"/>
                <w:szCs w:val="21"/>
              </w:rPr>
              <w:t xml:space="preserve">Language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color w:val="1A1A2E"/>
                <w:sz w:val="21"/>
                <w:szCs w:val="21"/>
              </w:rPr>
              <w:t xml:space="preserve">English (original) / French (translation)</w:t>
            </w:r>
          </w:p>
        </w:tc>
      </w:tr>
    </w:tbl>
    <w:p>
      <w:r>
        <w:br w:type="page"/>
      </w:r>
    </w:p>
    <w:p>
      <w:pPr>
        <w:spacing w:before="0" w:after="120"/>
        <w:jc w:val="center"/>
      </w:pPr>
      <w:r>
        <w:rPr>
          <w:rFonts w:ascii="Arial" w:cs="Arial" w:eastAsia="Arial" w:hAnsi="Arial"/>
          <w:b/>
          <w:bCs/>
          <w:color w:val="1F3A8F"/>
          <w:sz w:val="32"/>
          <w:szCs w:val="32"/>
        </w:rPr>
        <w:t xml:space="preserve">PART I — ENGLISH ORIGINAL</w:t>
      </w:r>
    </w:p>
    <w:p>
      <w:pPr>
        <w:pBdr>
          <w:bottom w:val="single" w:color="1F3A8F" w:sz="6" w:space="1"/>
        </w:pBdr>
        <w:spacing w:before="200" w:after="200"/>
      </w:pPr>
    </w:p>
    <w:p>
      <w:pPr>
        <w:pStyle w:val="Heading1"/>
        <w:spacing w:before="480" w:after="160"/>
      </w:pPr>
      <w:r>
        <w:rPr>
          <w:rFonts w:ascii="Arial" w:cs="Arial" w:eastAsia="Arial" w:hAnsi="Arial"/>
          <w:b/>
          <w:bCs/>
          <w:color w:val="1A1A2E"/>
          <w:sz w:val="36"/>
          <w:szCs w:val="36"/>
        </w:rPr>
        <w:t xml:space="preserve">1. Executive Summary</w:t>
      </w:r>
    </w:p>
    <w:p>
      <w:pPr>
        <w:spacing w:before="80" w:after="140" w:line="276"/>
        <w:jc w:val="both"/>
      </w:pPr>
      <w:r>
        <w:rPr>
          <w:rFonts w:ascii="Arial" w:cs="Arial" w:eastAsia="Arial" w:hAnsi="Arial"/>
          <w:color w:val="1A1A2E"/>
          <w:sz w:val="22"/>
          <w:szCs w:val="22"/>
        </w:rPr>
        <w:t xml:space="preserve">On February 17, 2026, Infosys and Anthropic announced a strategic partnership to co-develop AI agents for compliance-intensive regulated industries — beginning with telecommunications and expanding into financial services and manufacturing. The partnership integrates Infosys Topaz AI with Anthropic's Claude models and Claude Code SDK, creating agentic systems capable of persisting across long, complex regulatory workflows.</w:t>
      </w:r>
    </w:p>
    <w:p>
      <w:pPr>
        <w:spacing w:before="80" w:after="140" w:line="276"/>
        <w:jc w:val="both"/>
      </w:pPr>
      <w:r>
        <w:rPr>
          <w:rFonts w:ascii="Arial" w:cs="Arial" w:eastAsia="Arial" w:hAnsi="Arial"/>
          <w:color w:val="1A1A2E"/>
          <w:sz w:val="22"/>
          <w:szCs w:val="22"/>
        </w:rPr>
        <w:t xml:space="preserve">This announcement directly validates the core thesis of the AEGIS CIRCULAR platform and jeanpierrecharles.com: AI-driven regulatory compliance is becoming the defining industrial challenge of the 2026-2030 decade. The difference between Infosys and AEGIS CIRCULAR is not one of direction — it is one of scale, audience, and strategic positioning.</w:t>
      </w:r>
    </w:p>
    <w:p>
      <w:pPr>
        <w:spacing w:before="80" w:after="140" w:line="276"/>
        <w:jc w:val="both"/>
      </w:pPr>
      <w:r>
        <w:rPr>
          <w:rFonts w:ascii="Arial" w:cs="Arial" w:eastAsia="Arial" w:hAnsi="Arial"/>
          <w:color w:val="1A1A2E"/>
          <w:sz w:val="22"/>
          <w:szCs w:val="22"/>
        </w:rPr>
        <w:t xml:space="preserve">Infosys targets Fortune 500 global enterprises. AEGIS CIRCULAR targets the approximately 200,000 industrial SMEs, PMEs, and ETIs across EU member states and Outre-Mer territories who face identical compliance obligations with a fraction of the resources. This gap represents the most significant underserved market in European industrial consulting today.</w:t>
      </w:r>
    </w:p>
    <w:p>
      <w:pPr>
        <w:spacing w:before="80" w:after="140" w:line="276"/>
        <w:jc w:val="both"/>
      </w:pPr>
      <w:r>
        <w:rPr>
          <w:rFonts w:ascii="Arial" w:cs="Arial" w:eastAsia="Arial" w:hAnsi="Arial"/>
          <w:color w:val="1A1A2E"/>
          <w:sz w:val="22"/>
          <w:szCs w:val="22"/>
        </w:rPr>
        <w:t xml:space="preserve">This report provides a structured analysis of the competitive intelligence derived from the Infosys-Anthropic announcement, a mapping of EU regulatory timing pressures, and ten prioritized impact actions for accelerating AEGIS CIRCULAR's market entry and commercial traction.</w:t>
      </w:r>
    </w:p>
    <w:p>
      <w:pPr>
        <w:pStyle w:val="Heading1"/>
        <w:spacing w:before="480" w:after="160"/>
      </w:pPr>
      <w:r>
        <w:rPr>
          <w:rFonts w:ascii="Arial" w:cs="Arial" w:eastAsia="Arial" w:hAnsi="Arial"/>
          <w:b/>
          <w:bCs/>
          <w:color w:val="1A1A2E"/>
          <w:sz w:val="36"/>
          <w:szCs w:val="36"/>
        </w:rPr>
        <w:t xml:space="preserve">2. The Infosys-Anthropic Partnership: Strategic Intelligence</w:t>
      </w:r>
    </w:p>
    <w:p>
      <w:pPr>
        <w:pStyle w:val="Heading2"/>
        <w:spacing w:before="300" w:after="160"/>
      </w:pPr>
      <w:r>
        <w:rPr>
          <w:rFonts w:ascii="Arial" w:cs="Arial" w:eastAsia="Arial" w:hAnsi="Arial"/>
          <w:b/>
          <w:bCs/>
          <w:color w:val="1A1A2E"/>
          <w:sz w:val="28"/>
          <w:szCs w:val="28"/>
        </w:rPr>
        <w:t xml:space="preserve">2.1 What Was Announced</w:t>
      </w:r>
    </w:p>
    <w:p>
      <w:pPr>
        <w:spacing w:before="80" w:after="140" w:line="276"/>
        <w:jc w:val="both"/>
      </w:pPr>
      <w:r>
        <w:rPr>
          <w:rFonts w:ascii="Arial" w:cs="Arial" w:eastAsia="Arial" w:hAnsi="Arial"/>
          <w:color w:val="1A1A2E"/>
          <w:sz w:val="22"/>
          <w:szCs w:val="22"/>
        </w:rPr>
        <w:t xml:space="preserve">The partnership establishes: (1) an Anthropic Centre of Excellence within Infosys for the telecommunications sector; (2) integration of Infosys Topaz AI with Claude models including Claude Code for automated compliance reporting, risk detection, and regulatory workflow automation; (3) use of the Claude Agent SDK to build persistent AI agents capable of operating across extended, multi-step regulatory processes; and (4) expansion across manufacturing and financial services with explicit focus on legacy system modernization, product design acceleration, and audit-ready compliance documentation.</w:t>
      </w:r>
    </w:p>
    <w:p>
      <w:pPr>
        <w:spacing w:before="80" w:after="140" w:line="276"/>
        <w:jc w:val="both"/>
      </w:pPr>
      <w:r>
        <w:rPr>
          <w:rFonts w:ascii="Arial" w:cs="Arial" w:eastAsia="Arial" w:hAnsi="Arial"/>
          <w:color w:val="1A1A2E"/>
          <w:sz w:val="22"/>
          <w:szCs w:val="22"/>
        </w:rPr>
        <w:t xml:space="preserve">Notably, Anthropic CEO Dario Amodei specifically highlighted manufacturing and compliance as sectors where deep domain knowledge is non-negotiable — the precise terrain where Jean-Pierre Charles's 32 years of R&amp;D experience in mechatronics, batteries, safety systems, and EU product regulation constitutes an irreplaceable competitive asset.</w:t>
      </w:r>
    </w:p>
    <w:p>
      <w:pPr>
        <w:pStyle w:val="Heading2"/>
        <w:spacing w:before="300" w:after="160"/>
      </w:pPr>
      <w:r>
        <w:rPr>
          <w:rFonts w:ascii="Arial" w:cs="Arial" w:eastAsia="Arial" w:hAnsi="Arial"/>
          <w:b/>
          <w:bCs/>
          <w:color w:val="1A1A2E"/>
          <w:sz w:val="28"/>
          <w:szCs w:val="28"/>
        </w:rPr>
        <w:t xml:space="preserve">2.2 What This Signals for the Market</w:t>
      </w:r>
    </w:p>
    <w:p>
      <w:pPr>
        <w:spacing w:before="80" w:after="140" w:line="276"/>
        <w:jc w:val="both"/>
      </w:pPr>
      <w:r>
        <w:rPr>
          <w:rFonts w:ascii="Arial" w:cs="Arial" w:eastAsia="Arial" w:hAnsi="Arial"/>
          <w:color w:val="1A1A2E"/>
          <w:sz w:val="22"/>
          <w:szCs w:val="22"/>
        </w:rPr>
        <w:t xml:space="preserve">The Infosys-Anthropic deal is a market-validation event of the first order. When a global systems integrator of Infosys's scale (revenues exceeding $18 billion) formally commits to building AI compliance agents alongside the world's leading safety-focused AI laboratory, it signals that the regulatory AI compliance market has crossed the threshold from experimental to strategic infrastructure.</w:t>
      </w:r>
    </w:p>
    <w:p>
      <w:pPr>
        <w:spacing w:before="80" w:after="140" w:line="276"/>
        <w:jc w:val="both"/>
      </w:pPr>
      <w:r>
        <w:rPr>
          <w:rFonts w:ascii="Arial" w:cs="Arial" w:eastAsia="Arial" w:hAnsi="Arial"/>
          <w:color w:val="1A1A2E"/>
          <w:sz w:val="22"/>
          <w:szCs w:val="22"/>
        </w:rPr>
        <w:t xml:space="preserve">This event confirms three market dynamics simultaneously. First, regulatory compliance is now recognized as a primary AI deployment use case — not a secondary feature. Second, the combination of domain expertise and AI capability is the winning formula: neither alone is sufficient. Third, the critical bottleneck for SMEs is not access to AI — it is access to credible domain expertise that can translate AI capability into compliant, auditable, deployable solutions specific to their regulatory environment.</w:t>
      </w:r>
    </w:p>
    <w:p>
      <w:pPr>
        <w:pStyle w:val="Heading2"/>
        <w:spacing w:before="300" w:after="160"/>
      </w:pPr>
      <w:r>
        <w:rPr>
          <w:rFonts w:ascii="Arial" w:cs="Arial" w:eastAsia="Arial" w:hAnsi="Arial"/>
          <w:b/>
          <w:bCs/>
          <w:color w:val="1A1A2E"/>
          <w:sz w:val="28"/>
          <w:szCs w:val="28"/>
        </w:rPr>
        <w:t xml:space="preserve">2.3 The Strategic Gap AEGIS CIRCULAR Must Fill</w:t>
      </w:r>
    </w:p>
    <w:p>
      <w:pPr>
        <w:spacing w:before="80" w:after="140" w:line="276"/>
        <w:jc w:val="both"/>
      </w:pPr>
      <w:r>
        <w:rPr>
          <w:rFonts w:ascii="Arial" w:cs="Arial" w:eastAsia="Arial" w:hAnsi="Arial"/>
          <w:color w:val="1A1A2E"/>
          <w:sz w:val="22"/>
          <w:szCs w:val="22"/>
        </w:rPr>
        <w:t xml:space="preserve">Infosys will not serve French industrial ETIs in Occitanie, Portuguese manufacturers in the Azores, or Spanish SMEs in the Canary Islands navigating EU AI Act, Machinery Directive 2023/1230, battery regulation EU 2023/1542, or CSRD obligations. These companies — numbering in the hundreds of thousands across EU member states and outermost regions — face the same regulatory obligations as Volkswagen or TotalEnergies, with perhaps 2% of their compliance resources.</w:t>
      </w:r>
    </w:p>
    <w:p>
      <w:pPr>
        <w:spacing w:before="80" w:after="140" w:line="276"/>
        <w:jc w:val="both"/>
      </w:pPr>
      <w:r>
        <w:rPr>
          <w:rFonts w:ascii="Arial" w:cs="Arial" w:eastAsia="Arial" w:hAnsi="Arial"/>
          <w:color w:val="1A1A2E"/>
          <w:sz w:val="22"/>
          <w:szCs w:val="22"/>
        </w:rPr>
        <w:t xml:space="preserve">The European GRC (Governance, Risk, and Compliance) platform market is growing at a 13.5% CAGR through 2033. Critically, Eurostat data confirms that 50% of European SMEs currently outsource GRC-related services due to resource constraints, and 50% lack in-house expertise to manage GRC processes at all. The consulting segment represents 45.3% of the total GRC services market. This is precisely the demand curve into which AEGIS CIRCULAR is positioned.</w:t>
      </w:r>
    </w:p>
    <w:p>
      <w:pPr>
        <w:pStyle w:val="Heading1"/>
        <w:spacing w:before="480" w:after="160"/>
      </w:pPr>
      <w:r>
        <w:rPr>
          <w:rFonts w:ascii="Arial" w:cs="Arial" w:eastAsia="Arial" w:hAnsi="Arial"/>
          <w:b/>
          <w:bCs/>
          <w:color w:val="1A1A2E"/>
          <w:sz w:val="36"/>
          <w:szCs w:val="36"/>
        </w:rPr>
        <w:t xml:space="preserve">3. Regulatory Timing: The Window Is Now Open</w:t>
      </w:r>
    </w:p>
    <w:p>
      <w:pPr>
        <w:spacing w:before="80" w:after="140" w:line="276"/>
        <w:jc w:val="both"/>
      </w:pPr>
      <w:r>
        <w:rPr>
          <w:rFonts w:ascii="Arial" w:cs="Arial" w:eastAsia="Arial" w:hAnsi="Arial"/>
          <w:color w:val="1A1A2E"/>
          <w:sz w:val="22"/>
          <w:szCs w:val="22"/>
        </w:rPr>
        <w:t xml:space="preserve">The EU AI Act enforcement timeline creates an urgent, time-bounded commercial window that AEGIS CIRCULAR must exploit with discipline. August 2, 2026 — just five and a half months away — marks the date when the bulk of EU AI Act obligations become fully applicable for most operators. High-risk AI systems in manufacturing, industrial safety, and critical infrastructure will require full conformity assessments, human oversight documentation, and audit-ready logging.</w:t>
      </w:r>
    </w:p>
    <w:p>
      <w:pPr>
        <w:spacing w:before="80" w:after="140" w:line="276"/>
        <w:jc w:val="both"/>
      </w:pPr>
      <w:r>
        <w:rPr>
          <w:rFonts w:ascii="Arial" w:cs="Arial" w:eastAsia="Arial" w:hAnsi="Arial"/>
          <w:color w:val="1A1A2E"/>
          <w:sz w:val="22"/>
          <w:szCs w:val="22"/>
        </w:rPr>
        <w:t xml:space="preserve">This deadline compounds with several other active EU regulatory obligations simultaneously pressing on industrial SMEs. The CSRD (Corporate Sustainability Reporting Directive) has already expanded to cover tens of thousands of companies. The Machinery Directive 2023/1230 entered force in 2023 with a 42-month transition period ending in January 2027. EU Battery Regulation 2023/1542 imposes lifecycle documentation requirements across the entire battery value chain, with due diligence deadlines cascading through 2027.</w:t>
      </w:r>
    </w:p>
    <w:p>
      <w:pPr>
        <w:spacing w:before="80" w:after="140" w:line="276"/>
        <w:jc w:val="both"/>
      </w:pPr>
      <w:r>
        <w:rPr>
          <w:rFonts w:ascii="Arial" w:cs="Arial" w:eastAsia="Arial" w:hAnsi="Arial"/>
          <w:color w:val="1A1A2E"/>
          <w:sz w:val="22"/>
          <w:szCs w:val="22"/>
        </w:rPr>
        <w:t xml:space="preserve">European SMEs are therefore navigating the simultaneous convergence of three to five major regulatory transformations — all requiring documentation, risk assessment, conformity analysis, and expert guidance. This is not a compliance burden that general-purpose AI tools or law firms can adequately address. It requires exactly the combination AEGIS CIRCULAR offers: industrial domain expertise plus AI-powered lifecycle analysis plus regulatory translation.</w:t>
      </w:r>
    </w:p>
    <w:p>
      <w:pPr>
        <w:pStyle w:val="Heading1"/>
        <w:spacing w:before="480" w:after="160"/>
      </w:pPr>
      <w:r>
        <w:rPr>
          <w:rFonts w:ascii="Arial" w:cs="Arial" w:eastAsia="Arial" w:hAnsi="Arial"/>
          <w:b/>
          <w:bCs/>
          <w:color w:val="1A1A2E"/>
          <w:sz w:val="36"/>
          <w:szCs w:val="36"/>
        </w:rPr>
        <w:t xml:space="preserve">4. AEGIS CIRCULAR's Competitive Positioning</w:t>
      </w:r>
    </w:p>
    <w:p>
      <w:pPr>
        <w:pStyle w:val="Heading2"/>
        <w:spacing w:before="300" w:after="160"/>
      </w:pPr>
      <w:r>
        <w:rPr>
          <w:rFonts w:ascii="Arial" w:cs="Arial" w:eastAsia="Arial" w:hAnsi="Arial"/>
          <w:b/>
          <w:bCs/>
          <w:color w:val="1A1A2E"/>
          <w:sz w:val="28"/>
          <w:szCs w:val="28"/>
        </w:rPr>
        <w:t xml:space="preserve">4.1 Differentiation Architecture</w:t>
      </w:r>
    </w:p>
    <w:p>
      <w:pPr>
        <w:spacing w:before="80" w:after="140" w:line="276"/>
        <w:jc w:val="both"/>
      </w:pPr>
      <w:r>
        <w:rPr>
          <w:rFonts w:ascii="Arial" w:cs="Arial" w:eastAsia="Arial" w:hAnsi="Arial"/>
          <w:color w:val="1A1A2E"/>
          <w:sz w:val="22"/>
          <w:szCs w:val="22"/>
        </w:rPr>
        <w:t xml:space="preserve">AEGIS CIRCULAR's competitive moat rests on a three-layer architecture that no large integrator can replicate at the SME scale. The first layer is deep industrial credentialing: 32 years of hands-on R&amp;D across battery systems (Saft, Forsee Power), automotive safety (Autoliv), and powertrain systems (Faurecia), combined with lived experience navigating EU certification processes from the inside. This is not consultancy knowledge — it is practitioner knowledge.</w:t>
      </w:r>
    </w:p>
    <w:p>
      <w:pPr>
        <w:spacing w:before="80" w:after="140" w:line="276"/>
        <w:jc w:val="both"/>
      </w:pPr>
      <w:r>
        <w:rPr>
          <w:rFonts w:ascii="Arial" w:cs="Arial" w:eastAsia="Arial" w:hAnsi="Arial"/>
          <w:color w:val="1A1A2E"/>
          <w:sz w:val="22"/>
          <w:szCs w:val="22"/>
        </w:rPr>
        <w:t xml:space="preserve">The second layer is the AEGIS AI engine: a proprietary lifecycle management system purpose-built for the Industry 5.0 transition and EU regulatory compliance, integrating Claude models for intelligent document analysis, risk scoring, regulation mapping, and compliance gap identification. Unlike Infosys Topaz, which is designed for enterprise-scale workflow automation, the AEGIS engine is calibrated for the resource constraints, regulatory vocabulary, and operational realities of industrial SMEs.</w:t>
      </w:r>
    </w:p>
    <w:p>
      <w:pPr>
        <w:spacing w:before="80" w:after="140" w:line="276"/>
        <w:jc w:val="both"/>
      </w:pPr>
      <w:r>
        <w:rPr>
          <w:rFonts w:ascii="Arial" w:cs="Arial" w:eastAsia="Arial" w:hAnsi="Arial"/>
          <w:color w:val="1A1A2E"/>
          <w:sz w:val="22"/>
          <w:szCs w:val="22"/>
        </w:rPr>
        <w:t xml:space="preserve">The third layer is geographic and cultural specificity: an expert positioned across EU member states, DOM-TOM, Canary Islands, Azores, Madeira, and Reunion — capable of navigating not only EU directives but the overlay of national implementation regulations, regional development frameworks, and Outre-Mer-specific compliance adaptations.</w:t>
      </w:r>
    </w:p>
    <w:p>
      <w:pPr>
        <w:pStyle w:val="Heading2"/>
        <w:spacing w:before="300" w:after="160"/>
      </w:pPr>
      <w:r>
        <w:rPr>
          <w:rFonts w:ascii="Arial" w:cs="Arial" w:eastAsia="Arial" w:hAnsi="Arial"/>
          <w:b/>
          <w:bCs/>
          <w:color w:val="1A1A2E"/>
          <w:sz w:val="28"/>
          <w:szCs w:val="28"/>
        </w:rPr>
        <w:t xml:space="preserve">4.2 Market Size and Revenue Potential</w:t>
      </w:r>
    </w:p>
    <w:p>
      <w:pPr>
        <w:spacing w:before="80" w:after="140" w:line="276"/>
        <w:jc w:val="both"/>
      </w:pPr>
      <w:r>
        <w:rPr>
          <w:rFonts w:ascii="Arial" w:cs="Arial" w:eastAsia="Arial" w:hAnsi="Arial"/>
          <w:color w:val="1A1A2E"/>
          <w:sz w:val="22"/>
          <w:szCs w:val="22"/>
        </w:rPr>
        <w:t xml:space="preserve">The European management consulting market stands at $79.2 billion in 2025 and is growing at 6% annually. The SME consulting segment is growing at 8.5% CAGR, driven specifically by subscription-based digital advisory models. The regulatory consulting market specifically is projected to grow from $19.2 billion in 2025 to $33.7 billion by 2034. Within this, the GRC consulting segment — the most directly relevant to AEGIS CIRCULAR — held 45.3% market share and is expanding at 13.5% CAGR.</w:t>
      </w:r>
    </w:p>
    <w:p>
      <w:pPr>
        <w:spacing w:before="80" w:after="140" w:line="276"/>
        <w:jc w:val="both"/>
      </w:pPr>
      <w:r>
        <w:rPr>
          <w:rFonts w:ascii="Arial" w:cs="Arial" w:eastAsia="Arial" w:hAnsi="Arial"/>
          <w:color w:val="1A1A2E"/>
          <w:sz w:val="22"/>
          <w:szCs w:val="22"/>
        </w:rPr>
        <w:t xml:space="preserve">For AEGIS CIRCULAR, the immediate addressable market is the estimated 200,000+ industrial SMEs and ETIs across EU regions facing mandatory compliance obligations between now and 2027. If only 0.1% of this population engages at an average contract value of €15,000 per year, the revenue potential exceeds €30 million annually. Subscription-based SaaS delivery at €500 to €2,000 per month per client is the optimal entry model for scalability without linear headcount growth.</w:t>
      </w:r>
    </w:p>
    <w:p>
      <w:pPr>
        <w:pStyle w:val="Heading1"/>
        <w:spacing w:before="480" w:after="160"/>
      </w:pPr>
      <w:r>
        <w:rPr>
          <w:rFonts w:ascii="Arial" w:cs="Arial" w:eastAsia="Arial" w:hAnsi="Arial"/>
          <w:b/>
          <w:bCs/>
          <w:color w:val="1A1A2E"/>
          <w:sz w:val="36"/>
          <w:szCs w:val="36"/>
        </w:rPr>
        <w:t xml:space="preserve">5. Ten Strategic Impact Actions</w:t>
      </w:r>
    </w:p>
    <w:p>
      <w:pPr>
        <w:spacing w:before="80" w:after="140" w:line="276"/>
        <w:jc w:val="both"/>
      </w:pPr>
      <w:r>
        <w:rPr>
          <w:rFonts w:ascii="Arial" w:cs="Arial" w:eastAsia="Arial" w:hAnsi="Arial"/>
          <w:color w:val="1A1A2E"/>
          <w:sz w:val="22"/>
          <w:szCs w:val="22"/>
        </w:rPr>
        <w:t xml:space="preserve">The following ten recommendations are sequenced by urgency and strategic leverage, drawing on the Infosys-Anthropic signal, EU regulatory timing, and AEGIS CIRCULAR's current development state.</w:t>
      </w:r>
    </w:p>
    <w:p>
      <w:pPr>
        <w:pStyle w:val="Heading2"/>
        <w:spacing w:before="300" w:after="160"/>
      </w:pPr>
      <w:r>
        <w:rPr>
          <w:rFonts w:ascii="Arial" w:cs="Arial" w:eastAsia="Arial" w:hAnsi="Arial"/>
          <w:b/>
          <w:bCs/>
          <w:color w:val="1A1A2E"/>
          <w:sz w:val="28"/>
          <w:szCs w:val="28"/>
        </w:rPr>
        <w:t xml:space="preserve">Action 1: Deploy the 'August 2026 Compliance Clock' as a Lead Generation Engine</w:t>
      </w:r>
    </w:p>
    <w:p>
      <w:pPr>
        <w:spacing w:before="80" w:after="140" w:line="276"/>
        <w:jc w:val="both"/>
      </w:pPr>
      <w:r>
        <w:rPr>
          <w:rFonts w:ascii="Arial" w:cs="Arial" w:eastAsia="Arial" w:hAnsi="Arial"/>
          <w:color w:val="1A1A2E"/>
          <w:sz w:val="22"/>
          <w:szCs w:val="22"/>
        </w:rPr>
        <w:t xml:space="preserve">The August 2, 2026 AI Act full-enforcement date is five and a half months away. Launch an urgent-tone content series — articles, LinkedIn posts, short-form video, downloadable compliance checklist — framed around '147 Days to AI Act Compliance: Is Your Industrial SME Ready?' This positions jeanpierrecharles.com as the primary EU resource for industrial compliance readiness and drives inbound leads from companies beginning to feel regulatory pressure. Target publication in March 2026 to capture the pre-deadline anxiety window.</w:t>
      </w:r>
    </w:p>
    <w:p>
      <w:pPr>
        <w:pStyle w:val="Heading2"/>
        <w:spacing w:before="300" w:after="160"/>
      </w:pPr>
      <w:r>
        <w:rPr>
          <w:rFonts w:ascii="Arial" w:cs="Arial" w:eastAsia="Arial" w:hAnsi="Arial"/>
          <w:b/>
          <w:bCs/>
          <w:color w:val="1A1A2E"/>
          <w:sz w:val="28"/>
          <w:szCs w:val="28"/>
        </w:rPr>
        <w:t xml:space="preserve">Action 2: Launch the AEGIS Compliance Diagnostic as a Free SaaS Entry Point</w:t>
      </w:r>
    </w:p>
    <w:p>
      <w:pPr>
        <w:spacing w:before="80" w:after="140" w:line="276"/>
        <w:jc w:val="both"/>
      </w:pPr>
      <w:r>
        <w:rPr>
          <w:rFonts w:ascii="Arial" w:cs="Arial" w:eastAsia="Arial" w:hAnsi="Arial"/>
          <w:color w:val="1A1A2E"/>
          <w:sz w:val="22"/>
          <w:szCs w:val="22"/>
        </w:rPr>
        <w:t xml:space="preserve">Develop and deploy a self-assessment compliance diagnostic tool on jeanpierrecharles.com that allows industrial SMEs to input their sector, size, and product type and receive a personalized compliance gap report across EU AI Act, Machinery Directive 2023/1230, Battery Regulation 2023/1542, and CSRD obligations. This tool serves simultaneously as a lead capture mechanism, a demonstration of AEGIS AI engine capability, and a trust-building asset. A freemium model — free diagnostic, paid advisory report — mirrors the conversion logic of the most successful B2B SaaS platforms.</w:t>
      </w:r>
    </w:p>
    <w:p>
      <w:pPr>
        <w:pStyle w:val="Heading2"/>
        <w:spacing w:before="300" w:after="160"/>
      </w:pPr>
      <w:r>
        <w:rPr>
          <w:rFonts w:ascii="Arial" w:cs="Arial" w:eastAsia="Arial" w:hAnsi="Arial"/>
          <w:b/>
          <w:bCs/>
          <w:color w:val="1A1A2E"/>
          <w:sz w:val="28"/>
          <w:szCs w:val="28"/>
        </w:rPr>
        <w:t xml:space="preserve">Action 3: Position Against Infosys-Anthropic with a 'Human-Scale AI' Narrative</w:t>
      </w:r>
    </w:p>
    <w:p>
      <w:pPr>
        <w:spacing w:before="80" w:after="140" w:line="276"/>
        <w:jc w:val="both"/>
      </w:pPr>
      <w:r>
        <w:rPr>
          <w:rFonts w:ascii="Arial" w:cs="Arial" w:eastAsia="Arial" w:hAnsi="Arial"/>
          <w:color w:val="1A1A2E"/>
          <w:sz w:val="22"/>
          <w:szCs w:val="22"/>
        </w:rPr>
        <w:t xml:space="preserve">The Infosys announcement provides a perfect foil. Publish a strategic positioning article within two weeks titled something like: 'What Infosys and Anthropic Are Building for Siemens — And What Industrial SMEs Actually Need.' The argument is precise: enterprise AI compliance platforms are designed for organizations with dedicated legal, compliance, and IT departments. AEGIS CIRCULAR delivers equivalent AI-powered compliance intelligence configured for the realities of a 50-person manufacturer in Lyon or a 200-employee battery assembler in the Canary Islands. This narrative is both true and commercially powerful.</w:t>
      </w:r>
    </w:p>
    <w:p>
      <w:pPr>
        <w:pStyle w:val="Heading2"/>
        <w:spacing w:before="300" w:after="160"/>
      </w:pPr>
      <w:r>
        <w:rPr>
          <w:rFonts w:ascii="Arial" w:cs="Arial" w:eastAsia="Arial" w:hAnsi="Arial"/>
          <w:b/>
          <w:bCs/>
          <w:color w:val="1A1A2E"/>
          <w:sz w:val="28"/>
          <w:szCs w:val="28"/>
        </w:rPr>
        <w:t xml:space="preserve">Action 4: Target EU Outre-Mer Regions as a Blue Ocean Market</w:t>
      </w:r>
    </w:p>
    <w:p>
      <w:pPr>
        <w:spacing w:before="80" w:after="140" w:line="276"/>
        <w:jc w:val="both"/>
      </w:pPr>
      <w:r>
        <w:rPr>
          <w:rFonts w:ascii="Arial" w:cs="Arial" w:eastAsia="Arial" w:hAnsi="Arial"/>
          <w:color w:val="1A1A2E"/>
          <w:sz w:val="22"/>
          <w:szCs w:val="22"/>
        </w:rPr>
        <w:t xml:space="preserve">The DOM-TOM, Canary Islands, Azores, Madeira, and Reunion territories represent a structurally underserved market. These regions are subject to the same EU regulations as mainland Europe — including EU AI Act, CSRD, and sectoral directives — but are largely ignored by continental consulting firms. French territorial businesses in Martinique, Guadeloupe, and Reunion face CSRD obligations and AI compliance requirements with essentially zero local expert support. AEGIS CIRCULAR's ability to serve these markets remotely, with cultural and linguistic competence, is a differentiator with no current competition.</w:t>
      </w:r>
    </w:p>
    <w:p>
      <w:pPr>
        <w:pStyle w:val="Heading2"/>
        <w:spacing w:before="300" w:after="160"/>
      </w:pPr>
      <w:r>
        <w:rPr>
          <w:rFonts w:ascii="Arial" w:cs="Arial" w:eastAsia="Arial" w:hAnsi="Arial"/>
          <w:b/>
          <w:bCs/>
          <w:color w:val="1A1A2E"/>
          <w:sz w:val="28"/>
          <w:szCs w:val="28"/>
        </w:rPr>
        <w:t xml:space="preserve">Action 5: Develop the AEGIS Compliance Subscription Service (ACSS)</w:t>
      </w:r>
    </w:p>
    <w:p>
      <w:pPr>
        <w:spacing w:before="80" w:after="140" w:line="276"/>
        <w:jc w:val="both"/>
      </w:pPr>
      <w:r>
        <w:rPr>
          <w:rFonts w:ascii="Arial" w:cs="Arial" w:eastAsia="Arial" w:hAnsi="Arial"/>
          <w:color w:val="1A1A2E"/>
          <w:sz w:val="22"/>
          <w:szCs w:val="22"/>
        </w:rPr>
        <w:t xml:space="preserve">Structure a tiered subscription offer: a Diagnostic tier at €299/month covering automated compliance monitoring and alert notifications across applicable EU regulations; an Advisory tier at €990/month adding monthly expert sessions, compliance roadmap updates, and document review; and a Strategic Partner tier at €2,500/month providing dedicated compliance management, certification preparation, and regulatory liaison support. This model generates predictable recurring revenue, scales without proportional headcount, and allows progressive relationship deepening from diagnostic tool to strategic partnership.</w:t>
      </w:r>
    </w:p>
    <w:p>
      <w:pPr>
        <w:pStyle w:val="Heading2"/>
        <w:spacing w:before="300" w:after="160"/>
      </w:pPr>
      <w:r>
        <w:rPr>
          <w:rFonts w:ascii="Arial" w:cs="Arial" w:eastAsia="Arial" w:hAnsi="Arial"/>
          <w:b/>
          <w:bCs/>
          <w:color w:val="1A1A2E"/>
          <w:sz w:val="28"/>
          <w:szCs w:val="28"/>
        </w:rPr>
        <w:t xml:space="preserve">Action 6: Activate EU Funding Alignment as a Commercial Accelerator</w:t>
      </w:r>
    </w:p>
    <w:p>
      <w:pPr>
        <w:spacing w:before="80" w:after="140" w:line="276"/>
        <w:jc w:val="both"/>
      </w:pPr>
      <w:r>
        <w:rPr>
          <w:rFonts w:ascii="Arial" w:cs="Arial" w:eastAsia="Arial" w:hAnsi="Arial"/>
          <w:color w:val="1A1A2E"/>
          <w:sz w:val="22"/>
          <w:szCs w:val="22"/>
        </w:rPr>
        <w:t xml:space="preserve">French SMEs and ETIs can access BPI France funding, regional ERDF (European Regional Development Fund) grants, and Horizon Europe SME instrument funding for digital transformation and compliance infrastructure. AEGIS CIRCULAR should position itself explicitly as an eligible service provider for these funding streams — allowing clients to finance their compliance investment through EU and national programs. This dramatically reduces the sales friction for budget-constrained SMEs and creates a powerful referral network through BPI France advisors, CCI (Chambers of Commerce), and regional development agencies.</w:t>
      </w:r>
    </w:p>
    <w:p>
      <w:pPr>
        <w:pStyle w:val="Heading2"/>
        <w:spacing w:before="300" w:after="160"/>
      </w:pPr>
      <w:r>
        <w:rPr>
          <w:rFonts w:ascii="Arial" w:cs="Arial" w:eastAsia="Arial" w:hAnsi="Arial"/>
          <w:b/>
          <w:bCs/>
          <w:color w:val="1A1A2E"/>
          <w:sz w:val="28"/>
          <w:szCs w:val="28"/>
        </w:rPr>
        <w:t xml:space="preserve">Action 7: Build a Reference Case in Battery Regulation Compliance</w:t>
      </w:r>
    </w:p>
    <w:p>
      <w:pPr>
        <w:spacing w:before="80" w:after="140" w:line="276"/>
        <w:jc w:val="both"/>
      </w:pPr>
      <w:r>
        <w:rPr>
          <w:rFonts w:ascii="Arial" w:cs="Arial" w:eastAsia="Arial" w:hAnsi="Arial"/>
          <w:color w:val="1A1A2E"/>
          <w:sz w:val="22"/>
          <w:szCs w:val="22"/>
        </w:rPr>
        <w:t xml:space="preserve">Given Jean-Pierre Charles's direct experience at Saft and Forsee Power, EU Battery Regulation 2023/1542 is the highest-credibility entry point for AEGIS CIRCULAR. The regulation imposes due diligence obligations, carbon footprint declarations, and digital battery passport requirements that are currently creating significant uncertainty across the European battery value chain. Develop a detailed battery regulation compliance guide, offer a free 30-minute diagnostic call to battery-sector SMEs, and build a reference case with one early client. This vertical-specific authority accelerates trust with the industrial audience faster than generalist positioning.</w:t>
      </w:r>
    </w:p>
    <w:p>
      <w:pPr>
        <w:pStyle w:val="Heading2"/>
        <w:spacing w:before="300" w:after="160"/>
      </w:pPr>
      <w:r>
        <w:rPr>
          <w:rFonts w:ascii="Arial" w:cs="Arial" w:eastAsia="Arial" w:hAnsi="Arial"/>
          <w:b/>
          <w:bCs/>
          <w:color w:val="1A1A2E"/>
          <w:sz w:val="28"/>
          <w:szCs w:val="28"/>
        </w:rPr>
        <w:t xml:space="preserve">Action 8: Integrate Claude AI API Capabilities as a Visible Platform Differentiator</w:t>
      </w:r>
    </w:p>
    <w:p>
      <w:pPr>
        <w:spacing w:before="80" w:after="140" w:line="276"/>
        <w:jc w:val="both"/>
      </w:pPr>
      <w:r>
        <w:rPr>
          <w:rFonts w:ascii="Arial" w:cs="Arial" w:eastAsia="Arial" w:hAnsi="Arial"/>
          <w:color w:val="1A1A2E"/>
          <w:sz w:val="22"/>
          <w:szCs w:val="22"/>
        </w:rPr>
        <w:t xml:space="preserve">The Infosys-Anthropic partnership specifically leverages Claude's long-context reasoning and agentic persistence for complex regulatory workflows. AEGIS CIRCULAR should make its AI engine's capabilities visible and concrete on jeanpierrecharles.com: a live demonstration of the AEGIS engine analyzing a regulatory document and producing a compliance gap report would be a powerful differentiator. The SSR/SSG implementation planned for the platform (critical for organic discovery by industrial SMEs) should be accelerated, as this audience discovers services primarily through search rather than social platforms.</w:t>
      </w:r>
    </w:p>
    <w:p>
      <w:pPr>
        <w:pStyle w:val="Heading2"/>
        <w:spacing w:before="300" w:after="160"/>
      </w:pPr>
      <w:r>
        <w:rPr>
          <w:rFonts w:ascii="Arial" w:cs="Arial" w:eastAsia="Arial" w:hAnsi="Arial"/>
          <w:b/>
          <w:bCs/>
          <w:color w:val="1A1A2E"/>
          <w:sz w:val="28"/>
          <w:szCs w:val="28"/>
        </w:rPr>
        <w:t xml:space="preserve">Action 9: Establish a Strategic Advisory Network</w:t>
      </w:r>
    </w:p>
    <w:p>
      <w:pPr>
        <w:spacing w:before="80" w:after="140" w:line="276"/>
        <w:jc w:val="both"/>
      </w:pPr>
      <w:r>
        <w:rPr>
          <w:rFonts w:ascii="Arial" w:cs="Arial" w:eastAsia="Arial" w:hAnsi="Arial"/>
          <w:color w:val="1A1A2E"/>
          <w:sz w:val="22"/>
          <w:szCs w:val="22"/>
        </w:rPr>
        <w:t xml:space="preserve">Identify and engage five to ten complementary experts — a specialist in EU AI Act implementation, a CSRD reporting advisor, a machinery directive certification engineer, a cybersecurity compliance specialist, and a DOM-TOM regional business development expert — to form a strategic advisory network for AEGIS CIRCULAR. This network does not require employment; a formal affiliate agreement with revenue sharing on referred engagements creates aligned incentives. This dramatically expands the addressable market and allows AEGIS CIRCULAR to deliver multi-disciplinary compliance solutions that no single expert could provide alone.</w:t>
      </w:r>
    </w:p>
    <w:p>
      <w:pPr>
        <w:pStyle w:val="Heading2"/>
        <w:spacing w:before="300" w:after="160"/>
      </w:pPr>
      <w:r>
        <w:rPr>
          <w:rFonts w:ascii="Arial" w:cs="Arial" w:eastAsia="Arial" w:hAnsi="Arial"/>
          <w:b/>
          <w:bCs/>
          <w:color w:val="1A1A2E"/>
          <w:sz w:val="28"/>
          <w:szCs w:val="28"/>
        </w:rPr>
        <w:t xml:space="preserve">Action 10: Initiate V-Gate P1C Deployment and Platform Performance Audit</w:t>
      </w:r>
    </w:p>
    <w:p>
      <w:pPr>
        <w:spacing w:before="80" w:after="140" w:line="276"/>
        <w:jc w:val="both"/>
      </w:pPr>
      <w:r>
        <w:rPr>
          <w:rFonts w:ascii="Arial" w:cs="Arial" w:eastAsia="Arial" w:hAnsi="Arial"/>
          <w:color w:val="1A1A2E"/>
          <w:sz w:val="22"/>
          <w:szCs w:val="22"/>
        </w:rPr>
        <w:t xml:space="preserve">Based on the current project state, the V-Gate P1C visual and functional audit is the critical prerequisite for credible commercial launch. Six functional tests are pending validation: Brain IA streaming, mobile responsiveness, bilingual toggle, cookie management, regulation badges, and contact form. These must be completed and validated before initiating any commercial outreach or paid acquisition. A non-functional platform discovered by a prospective client would be more damaging than a delayed launch. Target V-Gate P1C completion before the end of February 2026.</w:t>
      </w:r>
    </w:p>
    <w:p>
      <w:pPr>
        <w:pStyle w:val="Heading1"/>
        <w:spacing w:before="480" w:after="160"/>
      </w:pPr>
      <w:r>
        <w:rPr>
          <w:rFonts w:ascii="Arial" w:cs="Arial" w:eastAsia="Arial" w:hAnsi="Arial"/>
          <w:b/>
          <w:bCs/>
          <w:color w:val="1A1A2E"/>
          <w:sz w:val="36"/>
          <w:szCs w:val="36"/>
        </w:rPr>
        <w:t xml:space="preserve">6. Risk Assessment and Mitigation</w:t>
      </w:r>
    </w:p>
    <w:p>
      <w:pPr>
        <w:spacing w:before="80" w:after="140" w:line="276"/>
        <w:jc w:val="both"/>
      </w:pPr>
      <w:r>
        <w:rPr>
          <w:rFonts w:ascii="Arial" w:cs="Arial" w:eastAsia="Arial" w:hAnsi="Arial"/>
          <w:color w:val="1A1A2E"/>
          <w:sz w:val="22"/>
          <w:szCs w:val="22"/>
        </w:rPr>
        <w:t xml:space="preserve">Three material risks require active management. The first is market education time: industrial SMEs are not yet uniformly aware of their EU AI Act obligations. This risk is actually AEGIS CIRCULAR's opportunity — first-mover educational content establishes authority before competitors arrive. The second is resource concentration: as a solo expert platform, delivery capacity limits scale. The affiliate network (Action 9) and SaaS automation (Action 2, 5) are the structural mitigations. The third is platform visibility: without SSR/SSG, jeanpierrecharles.com is invisible to search engines, and the target SME audience discovers services through search. Resolving this technical gap is a critical path item.</w:t>
      </w:r>
    </w:p>
    <w:p>
      <w:pPr>
        <w:pStyle w:val="Heading1"/>
        <w:spacing w:before="480" w:after="160"/>
      </w:pPr>
      <w:r>
        <w:rPr>
          <w:rFonts w:ascii="Arial" w:cs="Arial" w:eastAsia="Arial" w:hAnsi="Arial"/>
          <w:b/>
          <w:bCs/>
          <w:color w:val="1A1A2E"/>
          <w:sz w:val="36"/>
          <w:szCs w:val="36"/>
        </w:rPr>
        <w:t xml:space="preserve">7. Conclusion</w:t>
      </w:r>
    </w:p>
    <w:p>
      <w:pPr>
        <w:spacing w:before="80" w:after="140" w:line="276"/>
        <w:jc w:val="both"/>
      </w:pPr>
      <w:r>
        <w:rPr>
          <w:rFonts w:ascii="Arial" w:cs="Arial" w:eastAsia="Arial" w:hAnsi="Arial"/>
          <w:color w:val="1A1A2E"/>
          <w:sz w:val="22"/>
          <w:szCs w:val="22"/>
        </w:rPr>
        <w:t xml:space="preserve">The Infosys-Anthropic partnership is not a competitive threat to AEGIS CIRCULAR — it is a market validation event that confirms the strategic thesis at the highest level of institutional credibility. When a $18 billion systems integrator and the world's premier AI safety laboratory jointly announce that compliance-heavy industrial sectors are their primary AI deployment target, it signals that every industrial SME in Europe now has a measurable, time-bounded compliance obligation and an urgent need for expert guidance.</w:t>
      </w:r>
    </w:p>
    <w:p>
      <w:pPr>
        <w:spacing w:before="80" w:after="140" w:line="276"/>
        <w:jc w:val="both"/>
      </w:pPr>
      <w:r>
        <w:rPr>
          <w:rFonts w:ascii="Arial" w:cs="Arial" w:eastAsia="Arial" w:hAnsi="Arial"/>
          <w:color w:val="1A1A2E"/>
          <w:sz w:val="22"/>
          <w:szCs w:val="22"/>
        </w:rPr>
        <w:t xml:space="preserve">AEGIS CIRCULAR sits at the exact intersection of this demand: EU regulatory expertise, 32 years of industrial R&amp;D credibility, AI-powered lifecycle analysis, and a geographic focus on the 200,000+ SMEs and Outre-Mer companies that no Infosys Centre of Excellence will ever serve. The window is open. The regulatory clock is running. The question is velocity of execution.</w:t>
      </w:r>
    </w:p>
    <w:p>
      <w:pPr>
        <w:pBdr>
          <w:bottom w:val="single" w:color="1F3A8F" w:sz="6" w:space="1"/>
        </w:pBdr>
        <w:spacing w:before="200" w:after="200"/>
      </w:pPr>
    </w:p>
    <w:p>
      <w:r>
        <w:br w:type="page"/>
      </w:r>
    </w:p>
    <w:p>
      <w:pPr>
        <w:spacing w:before="0" w:after="120"/>
        <w:jc w:val="center"/>
      </w:pPr>
      <w:r>
        <w:rPr>
          <w:rFonts w:ascii="Arial" w:cs="Arial" w:eastAsia="Arial" w:hAnsi="Arial"/>
          <w:b/>
          <w:bCs/>
          <w:color w:val="C0392B"/>
          <w:sz w:val="32"/>
          <w:szCs w:val="32"/>
        </w:rPr>
        <w:t xml:space="preserve">PARTIE II — TRADUCTION FRANÇAISE</w:t>
      </w:r>
    </w:p>
    <w:p>
      <w:pPr>
        <w:pBdr>
          <w:bottom w:val="single" w:color="C0392B" w:sz="6" w:space="1"/>
        </w:pBdr>
        <w:spacing w:before="200" w:after="200"/>
      </w:pPr>
    </w:p>
    <w:p>
      <w:pPr>
        <w:pStyle w:val="Heading1"/>
        <w:spacing w:before="480" w:after="160"/>
      </w:pPr>
      <w:r>
        <w:rPr>
          <w:rFonts w:ascii="Arial" w:cs="Arial" w:eastAsia="Arial" w:hAnsi="Arial"/>
          <w:b/>
          <w:bCs/>
          <w:color w:val="1A1A2E"/>
          <w:sz w:val="36"/>
          <w:szCs w:val="36"/>
        </w:rPr>
        <w:t xml:space="preserve">1. Résumé Exécutif</w:t>
      </w:r>
    </w:p>
    <w:p>
      <w:pPr>
        <w:spacing w:before="80" w:after="140" w:line="276"/>
        <w:jc w:val="both"/>
      </w:pPr>
      <w:r>
        <w:rPr>
          <w:rFonts w:ascii="Arial" w:cs="Arial" w:eastAsia="Arial" w:hAnsi="Arial"/>
          <w:color w:val="1A1A2E"/>
          <w:sz w:val="22"/>
          <w:szCs w:val="22"/>
        </w:rPr>
        <w:t xml:space="preserve">Le 17 février 2026, Infosys et Anthropic ont annoncé un partenariat stratégique pour co-développer des agents IA dédiés aux industries réglementées à forte intensité de conformité — en commençant par les télécommunications, puis en s'étendant aux services financiers et à l'industrie manufacturière. Ce partenariat intègre Infosys Topaz AI avec les modèles Claude d'Anthropic et le SDK Claude Code, créant des systèmes agentiques capables de persister sur des workflows réglementaires longs et complexes.</w:t>
      </w:r>
    </w:p>
    <w:p>
      <w:pPr>
        <w:spacing w:before="80" w:after="140" w:line="276"/>
        <w:jc w:val="both"/>
      </w:pPr>
      <w:r>
        <w:rPr>
          <w:rFonts w:ascii="Arial" w:cs="Arial" w:eastAsia="Arial" w:hAnsi="Arial"/>
          <w:color w:val="1A1A2E"/>
          <w:sz w:val="22"/>
          <w:szCs w:val="22"/>
        </w:rPr>
        <w:t xml:space="preserve">Cette annonce valide directement la thèse centrale de la plateforme AEGIS CIRCULAR et de jeanpierrecharles.com : la conformité réglementaire pilotée par l'IA est en train de devenir le défi industriel structurant de la décennie 2026-2030. La différence entre Infosys et AEGIS CIRCULAR n'est pas une différence de direction — c'est une différence d'échelle, d'audience et de positionnement stratégique.</w:t>
      </w:r>
    </w:p>
    <w:p>
      <w:pPr>
        <w:spacing w:before="80" w:after="140" w:line="276"/>
        <w:jc w:val="both"/>
      </w:pPr>
      <w:r>
        <w:rPr>
          <w:rFonts w:ascii="Arial" w:cs="Arial" w:eastAsia="Arial" w:hAnsi="Arial"/>
          <w:color w:val="1A1A2E"/>
          <w:sz w:val="22"/>
          <w:szCs w:val="22"/>
        </w:rPr>
        <w:t xml:space="preserve">Infosys cible les grandes entreprises mondiales du Fortune 500. AEGIS CIRCULAR cible les quelque 200 000 TPE, PME et ETI industrielles réparties dans les États membres de l'UE et les Régions Ultrapériphériques (RUP), qui font face aux mêmes obligations de conformité que Volkswagen ou TotalEnergies, avec une fraction de leurs ressources. Cet écart représente le marché le plus significativement sous-servi dans le conseil industriel européen d'aujourd'hui.</w:t>
      </w:r>
    </w:p>
    <w:p>
      <w:pPr>
        <w:spacing w:before="80" w:after="140" w:line="276"/>
        <w:jc w:val="both"/>
      </w:pPr>
      <w:r>
        <w:rPr>
          <w:rFonts w:ascii="Arial" w:cs="Arial" w:eastAsia="Arial" w:hAnsi="Arial"/>
          <w:color w:val="1A1A2E"/>
          <w:sz w:val="22"/>
          <w:szCs w:val="22"/>
        </w:rPr>
        <w:t xml:space="preserve">Ce rapport fournit une analyse structurée des signaux stratégiques issus de l'annonce Infosys-Anthropic, une cartographie des pressions réglementaires européennes, et dix actions d'impact prioritaires pour accélérer l'entrée sur le marché d'AEGIS CIRCULAR.</w:t>
      </w:r>
    </w:p>
    <w:p>
      <w:pPr>
        <w:pStyle w:val="Heading1"/>
        <w:spacing w:before="480" w:after="160"/>
      </w:pPr>
      <w:r>
        <w:rPr>
          <w:rFonts w:ascii="Arial" w:cs="Arial" w:eastAsia="Arial" w:hAnsi="Arial"/>
          <w:b/>
          <w:bCs/>
          <w:color w:val="1A1A2E"/>
          <w:sz w:val="36"/>
          <w:szCs w:val="36"/>
        </w:rPr>
        <w:t xml:space="preserve">2. Le Partenariat Infosys-Anthropic : Intelligence Stratégique</w:t>
      </w:r>
    </w:p>
    <w:p>
      <w:pPr>
        <w:pStyle w:val="Heading2"/>
        <w:spacing w:before="300" w:after="160"/>
      </w:pPr>
      <w:r>
        <w:rPr>
          <w:rFonts w:ascii="Arial" w:cs="Arial" w:eastAsia="Arial" w:hAnsi="Arial"/>
          <w:b/>
          <w:bCs/>
          <w:color w:val="1A1A2E"/>
          <w:sz w:val="28"/>
          <w:szCs w:val="28"/>
        </w:rPr>
        <w:t xml:space="preserve">2.1 Ce qui a été annoncé</w:t>
      </w:r>
    </w:p>
    <w:p>
      <w:pPr>
        <w:spacing w:before="80" w:after="140" w:line="276"/>
        <w:jc w:val="both"/>
      </w:pPr>
      <w:r>
        <w:rPr>
          <w:rFonts w:ascii="Arial" w:cs="Arial" w:eastAsia="Arial" w:hAnsi="Arial"/>
          <w:color w:val="1A1A2E"/>
          <w:sz w:val="22"/>
          <w:szCs w:val="22"/>
        </w:rPr>
        <w:t xml:space="preserve">Le partenariat établit : (1) un Centre d'Excellence Anthropic au sein d'Infosys dédié au secteur des télécommunications ; (2) l'intégration d'Infosys Topaz AI avec les modèles Claude, dont Claude Code, pour l'automatisation des rapports de conformité, la détection des risques et l'automatisation des workflows réglementaires ; (3) l'utilisation du Claude Agent SDK pour construire des agents IA persistants capables d'opérer sur des processus réglementaires multi-étapes étendus ; et (4) une expansion vers la fabrication et les services financiers avec un focus explicite sur la modernisation des systèmes legacy, l'accélération de la conception produit et la documentation de conformité prête pour l'audit.</w:t>
      </w:r>
    </w:p>
    <w:p>
      <w:pPr>
        <w:spacing w:before="80" w:after="140" w:line="276"/>
        <w:jc w:val="both"/>
      </w:pPr>
      <w:r>
        <w:rPr>
          <w:rFonts w:ascii="Arial" w:cs="Arial" w:eastAsia="Arial" w:hAnsi="Arial"/>
          <w:color w:val="1A1A2E"/>
          <w:sz w:val="22"/>
          <w:szCs w:val="22"/>
        </w:rPr>
        <w:t xml:space="preserve">Le PDG d'Anthropic, Dario Amodei, a spécifiquement mis en avant la fabrication et la conformité comme des secteurs où la connaissance approfondie du domaine est non négociable — précisément le terrain sur lequel les 32 années d'expérience en R&amp;D de Jean-Pierre Charles (mécatronique, batteries, systèmes de sécurité, réglementation produit UE) constituent un actif concurrentiel irremplaçable.</w:t>
      </w:r>
    </w:p>
    <w:p>
      <w:pPr>
        <w:pStyle w:val="Heading2"/>
        <w:spacing w:before="300" w:after="160"/>
      </w:pPr>
      <w:r>
        <w:rPr>
          <w:rFonts w:ascii="Arial" w:cs="Arial" w:eastAsia="Arial" w:hAnsi="Arial"/>
          <w:b/>
          <w:bCs/>
          <w:color w:val="1A1A2E"/>
          <w:sz w:val="28"/>
          <w:szCs w:val="28"/>
        </w:rPr>
        <w:t xml:space="preserve">2.2 Ce que cela signale pour le marché</w:t>
      </w:r>
    </w:p>
    <w:p>
      <w:pPr>
        <w:spacing w:before="80" w:after="140" w:line="276"/>
        <w:jc w:val="both"/>
      </w:pPr>
      <w:r>
        <w:rPr>
          <w:rFonts w:ascii="Arial" w:cs="Arial" w:eastAsia="Arial" w:hAnsi="Arial"/>
          <w:color w:val="1A1A2E"/>
          <w:sz w:val="22"/>
          <w:szCs w:val="22"/>
        </w:rPr>
        <w:t xml:space="preserve">L'accord Infosys-Anthropic est un événement de validation marché de premier ordre. Lorsqu'un intégrateur système mondial de l'envergure d'Infosys (chiffre d'affaires dépassant 18 milliards de dollars) s'engage formellement à construire des agents IA de conformité aux côtés du laboratoire d'IA le plus avancé au monde en matière de sécurité, cela signale que le marché de la conformité réglementaire par l'IA a franchi le seuil de l'expérimental vers l'infrastructure stratégique.</w:t>
      </w:r>
    </w:p>
    <w:p>
      <w:pPr>
        <w:spacing w:before="80" w:after="140" w:line="276"/>
        <w:jc w:val="both"/>
      </w:pPr>
      <w:r>
        <w:rPr>
          <w:rFonts w:ascii="Arial" w:cs="Arial" w:eastAsia="Arial" w:hAnsi="Arial"/>
          <w:color w:val="1A1A2E"/>
          <w:sz w:val="22"/>
          <w:szCs w:val="22"/>
        </w:rPr>
        <w:t xml:space="preserve">Cet événement confirme simultanément trois dynamiques de marché. Premièrement, la conformité réglementaire est désormais reconnue comme un cas d'usage primaire du déploiement IA — et non comme une fonctionnalité secondaire. Deuxièmement, la combinaison expertise du domaine et capacité IA est la formule gagnante. Troisièmement, le goulet d'étranglement critique pour les PME n'est pas l'accès à l'IA — c'est l'accès à une expertise de domaine crédible capable de traduire la capacité IA en solutions conformes, auditables et déployables.</w:t>
      </w:r>
    </w:p>
    <w:p>
      <w:pPr>
        <w:pStyle w:val="Heading2"/>
        <w:spacing w:before="300" w:after="160"/>
      </w:pPr>
      <w:r>
        <w:rPr>
          <w:rFonts w:ascii="Arial" w:cs="Arial" w:eastAsia="Arial" w:hAnsi="Arial"/>
          <w:b/>
          <w:bCs/>
          <w:color w:val="1A1A2E"/>
          <w:sz w:val="28"/>
          <w:szCs w:val="28"/>
        </w:rPr>
        <w:t xml:space="preserve">2.3 Le Gap Stratégique qu'AEGIS CIRCULAR doit combler</w:t>
      </w:r>
    </w:p>
    <w:p>
      <w:pPr>
        <w:spacing w:before="80" w:after="140" w:line="276"/>
        <w:jc w:val="both"/>
      </w:pPr>
      <w:r>
        <w:rPr>
          <w:rFonts w:ascii="Arial" w:cs="Arial" w:eastAsia="Arial" w:hAnsi="Arial"/>
          <w:color w:val="1A1A2E"/>
          <w:sz w:val="22"/>
          <w:szCs w:val="22"/>
        </w:rPr>
        <w:t xml:space="preserve">Infosys ne servira pas les ETI industrielles françaises en Occitanie, les fabricants portugais aux Açores, ou les PME espagnoles aux Îles Canaries naviguant dans le Règlement IA, la Directive Machines 2023/1230, le Règlement batteries UE 2023/1542, ou les obligations CSRD. Ces entreprises — se comptant par centaines de milliers dans les États membres et les Régions Ultrapériphériques — font face aux mêmes obligations réglementaires que Volkswagen ou TotalEnergies, avec peut-être 2% de leurs ressources de conformité.</w:t>
      </w:r>
    </w:p>
    <w:p>
      <w:pPr>
        <w:spacing w:before="80" w:after="140" w:line="276"/>
        <w:jc w:val="both"/>
      </w:pPr>
      <w:r>
        <w:rPr>
          <w:rFonts w:ascii="Arial" w:cs="Arial" w:eastAsia="Arial" w:hAnsi="Arial"/>
          <w:color w:val="1A1A2E"/>
          <w:sz w:val="22"/>
          <w:szCs w:val="22"/>
        </w:rPr>
        <w:t xml:space="preserve">Le marché européen des plateformes GRC (Gouvernance, Risque et Conformité) croît à un TCAC de 13,5% jusqu'en 2033. De manière critique, les données Eurostat confirment que 50% des PME européennes externalisent actuellement les services liés à la GRC faute de ressources internes, et que 50% ne disposent pas de l'expertise maison pour gérer les processus GRC. Le segment conseil représente 45,3% du marché total des services GRC — c'est précisément la courbe de demande dans laquelle AEGIS CIRCULAR est positionné.</w:t>
      </w:r>
    </w:p>
    <w:p>
      <w:pPr>
        <w:pStyle w:val="Heading1"/>
        <w:spacing w:before="480" w:after="160"/>
      </w:pPr>
      <w:r>
        <w:rPr>
          <w:rFonts w:ascii="Arial" w:cs="Arial" w:eastAsia="Arial" w:hAnsi="Arial"/>
          <w:b/>
          <w:bCs/>
          <w:color w:val="1A1A2E"/>
          <w:sz w:val="36"/>
          <w:szCs w:val="36"/>
        </w:rPr>
        <w:t xml:space="preserve">3. Calendrier Réglementaire : La Fenêtre est Maintenant Ouverte</w:t>
      </w:r>
    </w:p>
    <w:p>
      <w:pPr>
        <w:spacing w:before="80" w:after="140" w:line="276"/>
        <w:jc w:val="both"/>
      </w:pPr>
      <w:r>
        <w:rPr>
          <w:rFonts w:ascii="Arial" w:cs="Arial" w:eastAsia="Arial" w:hAnsi="Arial"/>
          <w:color w:val="1A1A2E"/>
          <w:sz w:val="22"/>
          <w:szCs w:val="22"/>
        </w:rPr>
        <w:t xml:space="preserve">Le calendrier d'application du Règlement IA européen crée une fenêtre commerciale urgente et limitée dans le temps qu'AEGIS CIRCULAR doit exploiter avec méthode. Le 2 août 2026 — dans seulement cinq mois et demi — marque la date à laquelle l'essentiel des obligations du Règlement IA devient pleinement applicable pour la majorité des opérateurs. Les systèmes IA à haut risque en fabrication, sécurité industrielle et infrastructure critique nécessiteront des évaluations de conformité complètes, des documentations de supervision humaine et des journaux d'audit.</w:t>
      </w:r>
    </w:p>
    <w:p>
      <w:pPr>
        <w:spacing w:before="80" w:after="140" w:line="276"/>
        <w:jc w:val="both"/>
      </w:pPr>
      <w:r>
        <w:rPr>
          <w:rFonts w:ascii="Arial" w:cs="Arial" w:eastAsia="Arial" w:hAnsi="Arial"/>
          <w:color w:val="1A1A2E"/>
          <w:sz w:val="22"/>
          <w:szCs w:val="22"/>
        </w:rPr>
        <w:t xml:space="preserve">Cette échéance se cumule avec plusieurs autres obligations réglementaires UE qui pèsent simultanément sur les PME industrielles. La CSRD s'est déjà étendue pour couvrir des dizaines de milliers d'entreprises. La Directive Machines 2023/1230 est entrée en vigueur en 2023 avec une période de transition de 42 mois se terminant en janvier 2027. Le Règlement UE sur les batteries 2023/1542 impose des exigences de documentation du cycle de vie à l'ensemble de la chaîne de valeur batterie, avec des échéances de diligence raisonnable s'échelonnant jusqu'en 2027.</w:t>
      </w:r>
    </w:p>
    <w:p>
      <w:pPr>
        <w:spacing w:before="80" w:after="140" w:line="276"/>
        <w:jc w:val="both"/>
      </w:pPr>
      <w:r>
        <w:rPr>
          <w:rFonts w:ascii="Arial" w:cs="Arial" w:eastAsia="Arial" w:hAnsi="Arial"/>
          <w:color w:val="1A1A2E"/>
          <w:sz w:val="22"/>
          <w:szCs w:val="22"/>
        </w:rPr>
        <w:t xml:space="preserve">Les PME européennes naviguent donc simultanément dans la convergence de trois à cinq transformations réglementaires majeures — toutes nécessitant documentation, évaluation des risques, analyse de conformité et guidance experte. Ce n'est pas un fardeau de conformité que les outils IA généralistes ou les cabinets d'avocats peuvent adéquatement traiter. Il exige exactement la combinaison qu'AEGIS CIRCULAR propose : expertise de domaine industriel, analyse de cycle de vie par IA, et traduction réglementaire.</w:t>
      </w:r>
    </w:p>
    <w:p>
      <w:pPr>
        <w:pStyle w:val="Heading1"/>
        <w:spacing w:before="480" w:after="160"/>
      </w:pPr>
      <w:r>
        <w:rPr>
          <w:rFonts w:ascii="Arial" w:cs="Arial" w:eastAsia="Arial" w:hAnsi="Arial"/>
          <w:b/>
          <w:bCs/>
          <w:color w:val="1A1A2E"/>
          <w:sz w:val="36"/>
          <w:szCs w:val="36"/>
        </w:rPr>
        <w:t xml:space="preserve">4. Positionnement Concurrentiel d'AEGIS CIRCULAR</w:t>
      </w:r>
    </w:p>
    <w:p>
      <w:pPr>
        <w:pStyle w:val="Heading2"/>
        <w:spacing w:before="300" w:after="160"/>
      </w:pPr>
      <w:r>
        <w:rPr>
          <w:rFonts w:ascii="Arial" w:cs="Arial" w:eastAsia="Arial" w:hAnsi="Arial"/>
          <w:b/>
          <w:bCs/>
          <w:color w:val="1A1A2E"/>
          <w:sz w:val="28"/>
          <w:szCs w:val="28"/>
        </w:rPr>
        <w:t xml:space="preserve">4.1 Architecture de Différenciation</w:t>
      </w:r>
    </w:p>
    <w:p>
      <w:pPr>
        <w:spacing w:before="80" w:after="140" w:line="276"/>
        <w:jc w:val="both"/>
      </w:pPr>
      <w:r>
        <w:rPr>
          <w:rFonts w:ascii="Arial" w:cs="Arial" w:eastAsia="Arial" w:hAnsi="Arial"/>
          <w:color w:val="1A1A2E"/>
          <w:sz w:val="22"/>
          <w:szCs w:val="22"/>
        </w:rPr>
        <w:t xml:space="preserve">La différenciation compétitive d'AEGIS CIRCULAR repose sur une architecture à trois couches qu'aucun grand intégrateur ne peut répliquer à l'échelle PME. La première couche est la crédentialisation industrielle profonde : 32 années d'R&amp;D appliquée sur les systèmes batteries (Saft, Forsee Power), la sécurité automobile (Autoliv) et les systèmes de chaîne de traction (Faurecia), combinées avec une expérience vécue des processus de certification UE de l'intérieur. Ce n'est pas une connaissance de consultant — c'est une connaissance de praticien.</w:t>
      </w:r>
    </w:p>
    <w:p>
      <w:pPr>
        <w:spacing w:before="80" w:after="140" w:line="276"/>
        <w:jc w:val="both"/>
      </w:pPr>
      <w:r>
        <w:rPr>
          <w:rFonts w:ascii="Arial" w:cs="Arial" w:eastAsia="Arial" w:hAnsi="Arial"/>
          <w:color w:val="1A1A2E"/>
          <w:sz w:val="22"/>
          <w:szCs w:val="22"/>
        </w:rPr>
        <w:t xml:space="preserve">La deuxième couche est le moteur IA AEGIS : un système de gestion de cycle de vie propriétaire conçu spécifiquement pour la transition Industrie 5.0 et la conformité réglementaire UE, intégrant les modèles Claude pour l'analyse intelligente de documents, le scoring de risques, la cartographie des réglementations et l'identification des écarts de conformité. Contrairement à Infosys Topaz, conçu pour l'automatisation de workflows à l'échelle enterprise, le moteur AEGIS est calibré pour les contraintes de ressources, le vocabulaire réglementaire et les réalités opérationnelles des PME industrielles.</w:t>
      </w:r>
    </w:p>
    <w:p>
      <w:pPr>
        <w:spacing w:before="80" w:after="140" w:line="276"/>
        <w:jc w:val="both"/>
      </w:pPr>
      <w:r>
        <w:rPr>
          <w:rFonts w:ascii="Arial" w:cs="Arial" w:eastAsia="Arial" w:hAnsi="Arial"/>
          <w:color w:val="1A1A2E"/>
          <w:sz w:val="22"/>
          <w:szCs w:val="22"/>
        </w:rPr>
        <w:t xml:space="preserve">La troisième couche est la spécificité géographique et culturelle : un expert positionné sur les États membres de l'UE, les DOM-TOM, les Îles Canaries, les Açores, Madère et La Réunion — capable de naviguer non seulement dans les directives UE mais aussi dans la superposition des réglementations d'application nationales, des cadres de développement régional et des adaptations de conformité spécifiques aux Régions Ultrapériphériques.</w:t>
      </w:r>
    </w:p>
    <w:p>
      <w:pPr>
        <w:pStyle w:val="Heading1"/>
        <w:spacing w:before="480" w:after="160"/>
      </w:pPr>
      <w:r>
        <w:rPr>
          <w:rFonts w:ascii="Arial" w:cs="Arial" w:eastAsia="Arial" w:hAnsi="Arial"/>
          <w:b/>
          <w:bCs/>
          <w:color w:val="1A1A2E"/>
          <w:sz w:val="36"/>
          <w:szCs w:val="36"/>
        </w:rPr>
        <w:t xml:space="preserve">5. Dix Actions Stratégiques d'Impact</w:t>
      </w:r>
    </w:p>
    <w:p>
      <w:pPr>
        <w:spacing w:before="80" w:after="140" w:line="276"/>
        <w:jc w:val="both"/>
      </w:pPr>
      <w:r>
        <w:rPr>
          <w:rFonts w:ascii="Arial" w:cs="Arial" w:eastAsia="Arial" w:hAnsi="Arial"/>
          <w:color w:val="1A1A2E"/>
          <w:sz w:val="22"/>
          <w:szCs w:val="22"/>
        </w:rPr>
        <w:t xml:space="preserve">Les dix recommandations suivantes sont séquencées par urgence et levier stratégique, s'appuyant sur le signal Infosys-Anthropic, le calendrier réglementaire UE et l'état actuel de développement d'AEGIS CIRCULAR.</w:t>
      </w:r>
    </w:p>
    <w:p>
      <w:pPr>
        <w:pStyle w:val="Heading2"/>
        <w:spacing w:before="300" w:after="160"/>
      </w:pPr>
      <w:r>
        <w:rPr>
          <w:rFonts w:ascii="Arial" w:cs="Arial" w:eastAsia="Arial" w:hAnsi="Arial"/>
          <w:b/>
          <w:bCs/>
          <w:color w:val="1A1A2E"/>
          <w:sz w:val="28"/>
          <w:szCs w:val="28"/>
        </w:rPr>
        <w:t xml:space="preserve">Action 1 : Déployer l'« Horloge de Conformité Août 2026 » comme Moteur de Génération de Leads</w:t>
      </w:r>
    </w:p>
    <w:p>
      <w:pPr>
        <w:spacing w:before="80" w:after="140" w:line="276"/>
        <w:jc w:val="both"/>
      </w:pPr>
      <w:r>
        <w:rPr>
          <w:rFonts w:ascii="Arial" w:cs="Arial" w:eastAsia="Arial" w:hAnsi="Arial"/>
          <w:color w:val="1A1A2E"/>
          <w:sz w:val="22"/>
          <w:szCs w:val="22"/>
        </w:rPr>
        <w:t xml:space="preserve">La date d'application complète du Règlement IA au 2 août 2026 est dans cinq mois et demi. Lancer une série de contenus sur le ton de l'urgence — articles, posts LinkedIn, vidéos courtes, checklist de conformité téléchargeable — formulés autour de '147 jours avant le Règlement IA : Votre PME industrielle est-elle prête ?' Cela positionne jeanpierrecharles.com comme la ressource européenne de référence pour la préparation à la conformité industrielle et génère des leads entrants.</w:t>
      </w:r>
    </w:p>
    <w:p>
      <w:pPr>
        <w:pStyle w:val="Heading2"/>
        <w:spacing w:before="300" w:after="160"/>
      </w:pPr>
      <w:r>
        <w:rPr>
          <w:rFonts w:ascii="Arial" w:cs="Arial" w:eastAsia="Arial" w:hAnsi="Arial"/>
          <w:b/>
          <w:bCs/>
          <w:color w:val="1A1A2E"/>
          <w:sz w:val="28"/>
          <w:szCs w:val="28"/>
        </w:rPr>
        <w:t xml:space="preserve">Action 2 : Lancer le Diagnostic AEGIS comme Point d'Entrée SaaS Gratuit</w:t>
      </w:r>
    </w:p>
    <w:p>
      <w:pPr>
        <w:spacing w:before="80" w:after="140" w:line="276"/>
        <w:jc w:val="both"/>
      </w:pPr>
      <w:r>
        <w:rPr>
          <w:rFonts w:ascii="Arial" w:cs="Arial" w:eastAsia="Arial" w:hAnsi="Arial"/>
          <w:color w:val="1A1A2E"/>
          <w:sz w:val="22"/>
          <w:szCs w:val="22"/>
        </w:rPr>
        <w:t xml:space="preserve">Développer et déployer un outil de diagnostic de conformité en auto-évaluation sur jeanpierrecharles.com permettant aux PME industrielles d'obtenir un rapport personnalisé d'écarts de conformité sur le Règlement IA, la Directive Machines 2023/1230, le Règlement Batteries 2023/1542 et les obligations CSRD. Cet outil sert simultanément de mécanisme de capture de leads, de démonstration de la capacité du moteur IA AEGIS et d'actif de construction de confiance. Un modèle freemium — diagnostic gratuit, rapport de conseil payant — reproduit la logique de conversion des plateformes B2B SaaS les plus performantes.</w:t>
      </w:r>
    </w:p>
    <w:p>
      <w:pPr>
        <w:pStyle w:val="Heading2"/>
        <w:spacing w:before="300" w:after="160"/>
      </w:pPr>
      <w:r>
        <w:rPr>
          <w:rFonts w:ascii="Arial" w:cs="Arial" w:eastAsia="Arial" w:hAnsi="Arial"/>
          <w:b/>
          <w:bCs/>
          <w:color w:val="1A1A2E"/>
          <w:sz w:val="28"/>
          <w:szCs w:val="28"/>
        </w:rPr>
        <w:t xml:space="preserve">Action 3 : Se Positionner Face à Infosys-Anthropic avec un Narratif 'IA à Échelle Humaine'</w:t>
      </w:r>
    </w:p>
    <w:p>
      <w:pPr>
        <w:spacing w:before="80" w:after="140" w:line="276"/>
        <w:jc w:val="both"/>
      </w:pPr>
      <w:r>
        <w:rPr>
          <w:rFonts w:ascii="Arial" w:cs="Arial" w:eastAsia="Arial" w:hAnsi="Arial"/>
          <w:color w:val="1A1A2E"/>
          <w:sz w:val="22"/>
          <w:szCs w:val="22"/>
        </w:rPr>
        <w:t xml:space="preserve">L'annonce d'Infosys fournit un contrepoint idéal. Publier un article de positionnement stratégique dans les deux semaines intitulé : 'Ce qu'Infosys et Anthropic construisent pour Siemens — et ce dont les PME industrielles ont réellement besoin.' L'argument est précis : les plateformes de conformité IA enterprise sont conçues pour des organisations disposant de départements juridiques, conformité et IT dédiés. AEGIS CIRCULAR livre une intelligence de conformité équivalente pilotée par IA, configurée pour les réalités d'un fabricant de 50 personnes à Lyon ou d'un assembleur de batteries de 200 employés aux Îles Canaries.</w:t>
      </w:r>
    </w:p>
    <w:p>
      <w:pPr>
        <w:pStyle w:val="Heading2"/>
        <w:spacing w:before="300" w:after="160"/>
      </w:pPr>
      <w:r>
        <w:rPr>
          <w:rFonts w:ascii="Arial" w:cs="Arial" w:eastAsia="Arial" w:hAnsi="Arial"/>
          <w:b/>
          <w:bCs/>
          <w:color w:val="1A1A2E"/>
          <w:sz w:val="28"/>
          <w:szCs w:val="28"/>
        </w:rPr>
        <w:t xml:space="preserve">Action 4 : Cibler les Régions Ultrapériphériques de l'UE comme Marché Océan Bleu</w:t>
      </w:r>
    </w:p>
    <w:p>
      <w:pPr>
        <w:spacing w:before="80" w:after="140" w:line="276"/>
        <w:jc w:val="both"/>
      </w:pPr>
      <w:r>
        <w:rPr>
          <w:rFonts w:ascii="Arial" w:cs="Arial" w:eastAsia="Arial" w:hAnsi="Arial"/>
          <w:color w:val="1A1A2E"/>
          <w:sz w:val="22"/>
          <w:szCs w:val="22"/>
        </w:rPr>
        <w:t xml:space="preserve">Les DOM-TOM, Îles Canaries, Açores, Madère et La Réunion représentent un marché structurellement sous-servi. Ces régions sont soumises aux mêmes réglementations UE que l'Europe continentale — dont le Règlement IA, la CSRD et les directives sectorielles — mais sont largement ignorées par les cabinets de conseil continentaux. Les entreprises territoriales françaises en Martinique, Guadeloupe et La Réunion font face à des obligations CSRD et de conformité IA avec un support expert local quasi-inexistant. La capacité d'AEGIS CIRCULAR à servir ces marchés à distance, avec une compétence culturelle et linguistique, est un différenciateur sans concurrence actuelle.</w:t>
      </w:r>
    </w:p>
    <w:p>
      <w:pPr>
        <w:pStyle w:val="Heading2"/>
        <w:spacing w:before="300" w:after="160"/>
      </w:pPr>
      <w:r>
        <w:rPr>
          <w:rFonts w:ascii="Arial" w:cs="Arial" w:eastAsia="Arial" w:hAnsi="Arial"/>
          <w:b/>
          <w:bCs/>
          <w:color w:val="1A1A2E"/>
          <w:sz w:val="28"/>
          <w:szCs w:val="28"/>
        </w:rPr>
        <w:t xml:space="preserve">Action 5 : Développer l'AEGIS Compliance Subscription Service (ACSS)</w:t>
      </w:r>
    </w:p>
    <w:p>
      <w:pPr>
        <w:spacing w:before="80" w:after="140" w:line="276"/>
        <w:jc w:val="both"/>
      </w:pPr>
      <w:r>
        <w:rPr>
          <w:rFonts w:ascii="Arial" w:cs="Arial" w:eastAsia="Arial" w:hAnsi="Arial"/>
          <w:color w:val="1A1A2E"/>
          <w:sz w:val="22"/>
          <w:szCs w:val="22"/>
        </w:rPr>
        <w:t xml:space="preserve">Structurer une offre d'abonnement à trois niveaux : un niveau Diagnostic à 299€/mois couvrant la veille de conformité automatisée et les notifications d'alerte sur les réglementations UE applicables ; un niveau Conseil à 990€/mois ajoutant des sessions expertes mensuelles, des mises à jour de feuille de route de conformité et la revue de documents ; et un niveau Partenaire Stratégique à 2 500€/mois fournissant une gestion de conformité dédiée, la préparation à la certification et le soutien de liaison réglementaire. Ce modèle génère des revenus récurrents prévisibles, se scale sans croissance proportionnelle des effectifs.</w:t>
      </w:r>
    </w:p>
    <w:p>
      <w:pPr>
        <w:pStyle w:val="Heading2"/>
        <w:spacing w:before="300" w:after="160"/>
      </w:pPr>
      <w:r>
        <w:rPr>
          <w:rFonts w:ascii="Arial" w:cs="Arial" w:eastAsia="Arial" w:hAnsi="Arial"/>
          <w:b/>
          <w:bCs/>
          <w:color w:val="1A1A2E"/>
          <w:sz w:val="28"/>
          <w:szCs w:val="28"/>
        </w:rPr>
        <w:t xml:space="preserve">Action 6 : Activer l'Alignement sur les Financements UE comme Accélérateur Commercial</w:t>
      </w:r>
    </w:p>
    <w:p>
      <w:pPr>
        <w:spacing w:before="80" w:after="140" w:line="276"/>
        <w:jc w:val="both"/>
      </w:pPr>
      <w:r>
        <w:rPr>
          <w:rFonts w:ascii="Arial" w:cs="Arial" w:eastAsia="Arial" w:hAnsi="Arial"/>
          <w:color w:val="1A1A2E"/>
          <w:sz w:val="22"/>
          <w:szCs w:val="22"/>
        </w:rPr>
        <w:t xml:space="preserve">Les PME et ETI françaises peuvent accéder aux financements BPI France, aux subventions FEDER (Fonds Européen de Développement Régional) et au programme Horizon Europe pour la transformation numérique et l'infrastructure de conformité. AEGIS CIRCULAR doit se positionner explicitement comme prestataire de services éligible à ces flux de financement — permettant aux clients de financer leur investissement de conformité via des programmes UE et nationaux. Cela réduit drastiquement la friction commerciale pour les PME aux budgets contraints.</w:t>
      </w:r>
    </w:p>
    <w:p>
      <w:pPr>
        <w:pStyle w:val="Heading2"/>
        <w:spacing w:before="300" w:after="160"/>
      </w:pPr>
      <w:r>
        <w:rPr>
          <w:rFonts w:ascii="Arial" w:cs="Arial" w:eastAsia="Arial" w:hAnsi="Arial"/>
          <w:b/>
          <w:bCs/>
          <w:color w:val="1A1A2E"/>
          <w:sz w:val="28"/>
          <w:szCs w:val="28"/>
        </w:rPr>
        <w:t xml:space="preserve">Action 7 : Construire un Cas de Référence en Conformité Réglementation Batteries</w:t>
      </w:r>
    </w:p>
    <w:p>
      <w:pPr>
        <w:spacing w:before="80" w:after="140" w:line="276"/>
        <w:jc w:val="both"/>
      </w:pPr>
      <w:r>
        <w:rPr>
          <w:rFonts w:ascii="Arial" w:cs="Arial" w:eastAsia="Arial" w:hAnsi="Arial"/>
          <w:color w:val="1A1A2E"/>
          <w:sz w:val="22"/>
          <w:szCs w:val="22"/>
        </w:rPr>
        <w:t xml:space="preserve">Compte tenu de l'expérience directe de Jean-Pierre Charles chez Saft et Forsee Power, le Règlement UE sur les batteries 2023/1542 est le point d'entrée le plus crédible pour AEGIS CIRCULAR. La réglementation impose des obligations de diligence raisonnable, des déclarations d'empreinte carbone et des exigences de passeport numérique des batteries qui créent actuellement une incertitude significative dans toute la chaîne de valeur batterie européenne. Développer un guide de conformité batteries détaillé, proposer un appel diagnostic gratuit de 30 minutes aux PME du secteur batteries, et construire un cas de référence avec un premier client.</w:t>
      </w:r>
    </w:p>
    <w:p>
      <w:pPr>
        <w:pStyle w:val="Heading2"/>
        <w:spacing w:before="300" w:after="160"/>
      </w:pPr>
      <w:r>
        <w:rPr>
          <w:rFonts w:ascii="Arial" w:cs="Arial" w:eastAsia="Arial" w:hAnsi="Arial"/>
          <w:b/>
          <w:bCs/>
          <w:color w:val="1A1A2E"/>
          <w:sz w:val="28"/>
          <w:szCs w:val="28"/>
        </w:rPr>
        <w:t xml:space="preserve">Action 8 : Intégrer les Capacités de l'API Claude comme Différenciateur de Plateforme Visible</w:t>
      </w:r>
    </w:p>
    <w:p>
      <w:pPr>
        <w:spacing w:before="80" w:after="140" w:line="276"/>
        <w:jc w:val="both"/>
      </w:pPr>
      <w:r>
        <w:rPr>
          <w:rFonts w:ascii="Arial" w:cs="Arial" w:eastAsia="Arial" w:hAnsi="Arial"/>
          <w:color w:val="1A1A2E"/>
          <w:sz w:val="22"/>
          <w:szCs w:val="22"/>
        </w:rPr>
        <w:t xml:space="preserve">Le partenariat Infosys-Anthropic exploite spécifiquement le raisonnement en contexte long de Claude et la persistance agentique pour les workflows réglementaires complexes. AEGIS CIRCULAR doit rendre les capacités de son moteur IA visibles et concrètes sur jeanpierrecharles.com : une démonstration live du moteur AEGIS analysant un document réglementaire et produisant un rapport d'écarts de conformité serait un différenciateur puissant. L'implémentation SSR/SSG planifiée pour la plateforme doit être accélérée — l'audience cible des PME industrielles découvre les services principalement par la recherche.</w:t>
      </w:r>
    </w:p>
    <w:p>
      <w:pPr>
        <w:pStyle w:val="Heading2"/>
        <w:spacing w:before="300" w:after="160"/>
      </w:pPr>
      <w:r>
        <w:rPr>
          <w:rFonts w:ascii="Arial" w:cs="Arial" w:eastAsia="Arial" w:hAnsi="Arial"/>
          <w:b/>
          <w:bCs/>
          <w:color w:val="1A1A2E"/>
          <w:sz w:val="28"/>
          <w:szCs w:val="28"/>
        </w:rPr>
        <w:t xml:space="preserve">Action 9 : Établir un Réseau Consultatif Stratégique</w:t>
      </w:r>
    </w:p>
    <w:p>
      <w:pPr>
        <w:spacing w:before="80" w:after="140" w:line="276"/>
        <w:jc w:val="both"/>
      </w:pPr>
      <w:r>
        <w:rPr>
          <w:rFonts w:ascii="Arial" w:cs="Arial" w:eastAsia="Arial" w:hAnsi="Arial"/>
          <w:color w:val="1A1A2E"/>
          <w:sz w:val="22"/>
          <w:szCs w:val="22"/>
        </w:rPr>
        <w:t xml:space="preserve">Identifier et engager cinq à dix experts complémentaires — un spécialiste en implémentation du Règlement IA, un conseil en reporting CSRD, un ingénieur de certification Directive Machines, un spécialiste de la conformité cybersécurité et un expert en développement des affaires en Régions Ultrapériphériques — pour former un réseau consultatif stratégique pour AEGIS CIRCULAR. Ce réseau ne nécessite pas d'emploi : un accord d'affiliation formel avec partage de revenus sur les missions référées crée des incitations alignées et étend considérablement le marché adressable.</w:t>
      </w:r>
    </w:p>
    <w:p>
      <w:pPr>
        <w:pStyle w:val="Heading2"/>
        <w:spacing w:before="300" w:after="160"/>
      </w:pPr>
      <w:r>
        <w:rPr>
          <w:rFonts w:ascii="Arial" w:cs="Arial" w:eastAsia="Arial" w:hAnsi="Arial"/>
          <w:b/>
          <w:bCs/>
          <w:color w:val="1A1A2E"/>
          <w:sz w:val="28"/>
          <w:szCs w:val="28"/>
        </w:rPr>
        <w:t xml:space="preserve">Action 10 : Initier le V-Gate P1C et l'Audit de Performance de la Plateforme</w:t>
      </w:r>
    </w:p>
    <w:p>
      <w:pPr>
        <w:spacing w:before="80" w:after="140" w:line="276"/>
        <w:jc w:val="both"/>
      </w:pPr>
      <w:r>
        <w:rPr>
          <w:rFonts w:ascii="Arial" w:cs="Arial" w:eastAsia="Arial" w:hAnsi="Arial"/>
          <w:color w:val="1A1A2E"/>
          <w:sz w:val="22"/>
          <w:szCs w:val="22"/>
        </w:rPr>
        <w:t xml:space="preserve">Sur la base de l'état actuel du projet, l'audit visuel et fonctionnel V-Gate P1C est le prérequis critique pour un lancement commercial crédible. Six tests fonctionnels sont en attente de validation : streaming Brain IA, réactivité mobile, bascule bilingue, gestion des cookies, badges de réglementation et formulaire de contact. Ces tests doivent être complétés et validés avant toute démarche commerciale. Cible : complétion du V-Gate P1C avant fin février 2026.</w:t>
      </w:r>
    </w:p>
    <w:p>
      <w:pPr>
        <w:pStyle w:val="Heading1"/>
        <w:spacing w:before="480" w:after="160"/>
      </w:pPr>
      <w:r>
        <w:rPr>
          <w:rFonts w:ascii="Arial" w:cs="Arial" w:eastAsia="Arial" w:hAnsi="Arial"/>
          <w:b/>
          <w:bCs/>
          <w:color w:val="1A1A2E"/>
          <w:sz w:val="36"/>
          <w:szCs w:val="36"/>
        </w:rPr>
        <w:t xml:space="preserve">6. Évaluation des Risques et Mitigation</w:t>
      </w:r>
    </w:p>
    <w:p>
      <w:pPr>
        <w:spacing w:before="80" w:after="140" w:line="276"/>
        <w:jc w:val="both"/>
      </w:pPr>
      <w:r>
        <w:rPr>
          <w:rFonts w:ascii="Arial" w:cs="Arial" w:eastAsia="Arial" w:hAnsi="Arial"/>
          <w:color w:val="1A1A2E"/>
          <w:sz w:val="22"/>
          <w:szCs w:val="22"/>
        </w:rPr>
        <w:t xml:space="preserve">Trois risques matériels nécessitent une gestion active. Premièrement, le temps d'éducation du marché : les PME industrielles ne sont pas encore uniformément conscientes de leurs obligations au titre du Règlement IA. Ce risque est en fait l'opportunité d'AEGIS CIRCULAR — les contenus éducatifs premier-entrant établissent l'autorité avant l'arrivée des concurrents. Deuxièmement, la concentration des ressources : en tant que plateforme experte solo, la capacité de livraison limite l'échelle — le réseau d'affiliés (Action 9) et l'automatisation SaaS (Actions 2 et 5) sont les mitigations structurelles. Troisièmement, la visibilité de la plateforme : sans SSR/SSG, jeanpierrecharles.com est invisible aux moteurs de recherche, et l'audience cible découvre les services par la recherche. Résoudre ce gap technique est un élément de chemin critique.</w:t>
      </w:r>
    </w:p>
    <w:p>
      <w:pPr>
        <w:pStyle w:val="Heading1"/>
        <w:spacing w:before="480" w:after="160"/>
      </w:pPr>
      <w:r>
        <w:rPr>
          <w:rFonts w:ascii="Arial" w:cs="Arial" w:eastAsia="Arial" w:hAnsi="Arial"/>
          <w:b/>
          <w:bCs/>
          <w:color w:val="1A1A2E"/>
          <w:sz w:val="36"/>
          <w:szCs w:val="36"/>
        </w:rPr>
        <w:t xml:space="preserve">7. Conclusion</w:t>
      </w:r>
    </w:p>
    <w:p>
      <w:pPr>
        <w:spacing w:before="80" w:after="140" w:line="276"/>
        <w:jc w:val="both"/>
      </w:pPr>
      <w:r>
        <w:rPr>
          <w:rFonts w:ascii="Arial" w:cs="Arial" w:eastAsia="Arial" w:hAnsi="Arial"/>
          <w:color w:val="1A1A2E"/>
          <w:sz w:val="22"/>
          <w:szCs w:val="22"/>
        </w:rPr>
        <w:t xml:space="preserve">Le partenariat Infosys-Anthropic n'est pas une menace concurrentielle pour AEGIS CIRCULAR — c'est un événement de validation marché qui confirme la thèse stratégique au plus haut niveau de crédibilité institutionnelle. Lorsqu'un intégrateur système à 18 milliards de dollars et le premier laboratoire mondial d'IA en matière de sécurité annoncent conjointement que les secteurs industriels à forte réglementation sont leur cible principale de déploiement IA, ils signalent que chaque PME industrielle en Europe a désormais une obligation de conformité mesurable, limitée dans le temps, et un besoin urgent de guidance experte.</w:t>
      </w:r>
    </w:p>
    <w:p>
      <w:pPr>
        <w:spacing w:before="80" w:after="140" w:line="276"/>
        <w:jc w:val="both"/>
      </w:pPr>
      <w:r>
        <w:rPr>
          <w:rFonts w:ascii="Arial" w:cs="Arial" w:eastAsia="Arial" w:hAnsi="Arial"/>
          <w:color w:val="1A1A2E"/>
          <w:sz w:val="22"/>
          <w:szCs w:val="22"/>
        </w:rPr>
        <w:t xml:space="preserve">AEGIS CIRCULAR se situe à l'intersection exacte de cette demande : expertise réglementaire UE, 32 années de crédibilité en R&amp;D industrielle, analyse de cycle de vie par IA, et un focus géographique sur les 200 000+ PME et entreprises Outre-Mer qu'aucun Centre d'Excellence Infosys ne servira jamais. La fenêtre est ouverte. L'horloge réglementaire tourne. La question est la vélocité d'exécution.</w:t>
      </w:r>
    </w:p>
    <w:p>
      <w:pPr>
        <w:pBdr>
          <w:bottom w:val="single" w:color="C0392B" w:sz="6" w:space="1"/>
        </w:pBdr>
        <w:spacing w:before="200" w:after="200"/>
      </w:pPr>
    </w:p>
    <w:p>
      <w:pPr>
        <w:spacing w:before="300" w:after="100"/>
        <w:jc w:val="center"/>
      </w:pPr>
      <w:r>
        <w:rPr>
          <w:rFonts w:ascii="Arial" w:cs="Arial" w:eastAsia="Arial" w:hAnsi="Arial"/>
          <w:i/>
          <w:iCs/>
          <w:color w:val="666666"/>
          <w:sz w:val="20"/>
          <w:szCs w:val="20"/>
        </w:rPr>
        <w:t xml:space="preserve">AEGIS CIRCULAR — jeanpierrecharles.com</w:t>
      </w:r>
    </w:p>
    <w:p>
      <w:pPr>
        <w:spacing w:before="0" w:after="100"/>
        <w:jc w:val="center"/>
      </w:pPr>
      <w:r>
        <w:rPr>
          <w:rFonts w:ascii="Arial" w:cs="Arial" w:eastAsia="Arial" w:hAnsi="Arial"/>
          <w:color w:val="666666"/>
          <w:sz w:val="20"/>
          <w:szCs w:val="20"/>
        </w:rPr>
        <w:t xml:space="preserve">Expert Industrie 5.0 &amp; Conformité UE — Jean-Pierre Charles</w:t>
      </w:r>
    </w:p>
    <w:p>
      <w:pPr>
        <w:spacing w:before="0" w:after="100"/>
        <w:jc w:val="center"/>
      </w:pPr>
      <w:r>
        <w:rPr>
          <w:rFonts w:ascii="Arial" w:cs="Arial" w:eastAsia="Arial" w:hAnsi="Arial"/>
          <w:i/>
          <w:iCs/>
          <w:color w:val="666666"/>
          <w:sz w:val="18"/>
          <w:szCs w:val="18"/>
        </w:rPr>
        <w:t xml:space="preserve">Document Reference: AEGIS-SR-20260218-001 | Confidential</w:t>
      </w:r>
    </w:p>
    <w:sectPr>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1F3A8F" w:sz="4" w:space="2"/>
      </w:pBdr>
      <w:spacing w:before="480" w:after="160"/>
      <w:outlineLvl w:val="0"/>
    </w:pPr>
    <w:rPr>
      <w:rFonts w:ascii="Arial" w:cs="Arial" w:eastAsia="Arial" w:hAnsi="Arial"/>
      <w:b/>
      <w:bCs/>
      <w:color w:val="1F3A8F"/>
      <w:sz w:val="36"/>
      <w:szCs w:val="36"/>
    </w:rPr>
  </w:style>
  <w:style w:type="paragraph" w:styleId="Heading2">
    <w:name w:val="Heading 2"/>
    <w:basedOn w:val="Normal"/>
    <w:next w:val="Normal"/>
    <w:qFormat/>
    <w:pPr>
      <w:spacing w:before="300" w:after="120"/>
      <w:outlineLvl w:val="1"/>
    </w:pPr>
    <w:rPr>
      <w:rFonts w:ascii="Arial" w:cs="Arial" w:eastAsia="Arial" w:hAnsi="Arial"/>
      <w:b/>
      <w:bCs/>
      <w:color w:val="1A1A2E"/>
      <w:sz w:val="26"/>
      <w:szCs w:val="26"/>
    </w:rPr>
  </w:style>
  <w:style w:type="paragraph" w:styleId="Heading3">
    <w:name w:val="Heading 3"/>
    <w:basedOn w:val="Normal"/>
    <w:next w:val="Normal"/>
    <w:qFormat/>
    <w:pPr>
      <w:spacing w:before="240" w:after="80"/>
      <w:outlineLvl w:val="2"/>
    </w:pPr>
    <w:rPr>
      <w:rFonts w:ascii="Arial" w:cs="Arial" w:eastAsia="Arial" w:hAnsi="Arial"/>
      <w:b/>
      <w:bCs/>
      <w:color w:val="66666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2026-02-18T08:17:22.467Z</dcterms:created>
  <dcterms:modified xsi:type="dcterms:W3CDTF">2026-02-18T08:17:22.468Z</dcterms:modified>
</cp:coreProperties>
</file>

<file path=docProps/custom.xml><?xml version="1.0" encoding="utf-8"?>
<Properties xmlns="http://schemas.openxmlformats.org/officeDocument/2006/custom-properties" xmlns:vt="http://schemas.openxmlformats.org/officeDocument/2006/docPropsVTypes"/>
</file>