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80"/>
        <w:jc w:val="center"/>
        <w:rPr>
          <w:lang w:val="pt-BR" w:eastAsia="en-US" w:bidi="ar-SA"/>
        </w:rPr>
      </w:pPr>
      <w:r>
        <w:rPr>
          <w:rFonts w:ascii="Arial" w:hAnsi="Arial"/>
          <w:b/>
          <w:color w:val="0F172A"/>
          <w:sz w:val="44"/>
          <w:lang w:val="pt-BR" w:eastAsia="en-US" w:bidi="ar-SA"/>
        </w:rPr>
        <w:t>Documentação Técnica: Sistema de Controle de Estoque StockShop</w:t>
      </w:r>
    </w:p>
    <w:p>
      <w:pPr>
        <w:pStyle w:val="Normal"/>
        <w:spacing w:before="360" w:after="160"/>
        <w:rPr>
          <w:lang w:val="pt-BR" w:eastAsia="en-US" w:bidi="ar-SA"/>
        </w:rPr>
      </w:pPr>
      <w:r>
        <w:rPr>
          <w:rFonts w:ascii="Arial" w:hAnsi="Arial"/>
          <w:b/>
          <w:color w:val="0F172A"/>
          <w:sz w:val="28"/>
          <w:lang w:val="pt-BR" w:eastAsia="en-US" w:bidi="ar-SA"/>
        </w:rPr>
        <w:t>1. Documento de Requisitos do Produto (PRD)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>Nome do Produto: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 Sistema StockShop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>Público-Alvo: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 Lojistas, gerentes de estoque e administradores de comércios de pequeno porte.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>Objetivo: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 Fornecer uma interface de linha de comando </w:t>
      </w:r>
      <w:r>
        <w:rPr>
          <w:rFonts w:ascii="Arial" w:hAnsi="Arial"/>
          <w:color w:val="334155"/>
          <w:sz w:val="19"/>
          <w:lang w:val="pt-BR" w:eastAsia="en-US" w:bidi="ar-SA"/>
        </w:rPr>
        <w:t>s</w:t>
      </w:r>
      <w:r>
        <w:rPr>
          <w:rFonts w:ascii="Arial" w:hAnsi="Arial"/>
          <w:color w:val="334155"/>
          <w:sz w:val="19"/>
          <w:lang w:val="pt-BR" w:eastAsia="en-US" w:bidi="ar-SA"/>
        </w:rPr>
        <w:t>imples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 e eficiente para o gerenciamento de produtos, fornecedores e movimentações de estoque, permitindo operações de cadastro, consulta, alteração e exclusão (CRUD), além da geração de relatórios consolidados de controle.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 xml:space="preserve">Visão Geral: </w:t>
      </w:r>
      <w:r>
        <w:rPr>
          <w:rFonts w:ascii="Arial" w:hAnsi="Arial"/>
          <w:color w:val="334155"/>
          <w:sz w:val="19"/>
          <w:lang w:val="pt-BR" w:eastAsia="en-US" w:bidi="ar-SA"/>
        </w:rPr>
        <w:t>O sistema foi desenvolvido em C# utilizando princípios de Programação Orientada a Objetos (POO) e padrão arquitetural MVC. A interface interativa de console é desenhada com caracteres ASCII, apresentando cores personalizadas e controle de cursor. A persistência de dados é mantida inteiramente em memória por meio de estruturas estáticas durante a execução.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>Escopo: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>
          <w:lang w:val="pt-BR" w:eastAsia="en-US" w:bidi="ar-SA"/>
        </w:rPr>
      </w:pPr>
      <w:r>
        <w:rPr>
          <w:rFonts w:ascii="Arial" w:hAnsi="Arial"/>
          <w:color w:val="334155"/>
          <w:sz w:val="19"/>
          <w:lang w:val="pt-BR" w:eastAsia="en-US" w:bidi="ar-SA"/>
        </w:rPr>
        <w:t>Gerenciamento de Fornecedores (Cadastro, Consulta, Alteração e Exclusão com CNPJ único).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>
          <w:lang w:val="pt-BR" w:eastAsia="en-US" w:bidi="ar-SA"/>
        </w:rPr>
      </w:pPr>
      <w:r>
        <w:rPr>
          <w:rFonts w:ascii="Arial" w:hAnsi="Arial"/>
          <w:color w:val="334155"/>
          <w:sz w:val="19"/>
          <w:lang w:val="pt-BR" w:eastAsia="en-US" w:bidi="ar-SA"/>
        </w:rPr>
        <w:t>Gerenciamento de Produtos (Cadastro vinculando Fornecedor, Preço, Categoria de 0 a 5 e Estoque).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>
          <w:lang w:val="pt-BR" w:eastAsia="en-US" w:bidi="ar-SA"/>
        </w:rPr>
      </w:pPr>
      <w:r>
        <w:rPr>
          <w:rFonts w:ascii="Arial" w:hAnsi="Arial"/>
          <w:color w:val="334155"/>
          <w:sz w:val="19"/>
          <w:lang w:val="pt-BR" w:eastAsia="en-US" w:bidi="ar-SA"/>
        </w:rPr>
        <w:t>Registro de Movimentações de Estoque (Lançamentos de entrada e saída com controle automático de saldo físico).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>
          <w:lang w:val="pt-BR" w:eastAsia="en-US" w:bidi="ar-SA"/>
        </w:rPr>
      </w:pPr>
      <w:r>
        <w:rPr>
          <w:rFonts w:ascii="Arial" w:hAnsi="Arial"/>
          <w:color w:val="334155"/>
          <w:sz w:val="19"/>
          <w:lang w:val="pt-BR" w:eastAsia="en-US" w:bidi="ar-SA"/>
        </w:rPr>
        <w:t>Relatórios Consolidados (Listagens tabulares estruturadas para produtos, fornecedores e movimentações).</w:t>
      </w:r>
    </w:p>
    <w:p>
      <w:pPr>
        <w:pStyle w:val="Normal"/>
        <w:spacing w:before="360" w:after="160"/>
        <w:rPr>
          <w:lang w:val="pt-BR" w:eastAsia="en-US" w:bidi="ar-SA"/>
        </w:rPr>
      </w:pPr>
      <w:r>
        <w:rPr>
          <w:rFonts w:ascii="Arial" w:hAnsi="Arial"/>
          <w:b/>
          <w:color w:val="0F172A"/>
          <w:sz w:val="28"/>
          <w:lang w:val="pt-BR" w:eastAsia="en-US" w:bidi="ar-SA"/>
        </w:rPr>
        <w:t>2. Regras de Negócio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 xml:space="preserve">1. Identificação Única dos Produtos: </w:t>
      </w:r>
      <w:r>
        <w:rPr>
          <w:rFonts w:ascii="Arial" w:hAnsi="Arial"/>
          <w:color w:val="334155"/>
          <w:sz w:val="19"/>
          <w:lang w:val="pt-BR" w:eastAsia="en-US" w:bidi="ar-SA"/>
        </w:rPr>
        <w:t>Produtos são identificados exclusivamente por um Código numérico.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 xml:space="preserve">2. Identificação Única dos Fornecedores: </w:t>
      </w:r>
      <w:r>
        <w:rPr>
          <w:rFonts w:ascii="Arial" w:hAnsi="Arial"/>
          <w:color w:val="334155"/>
          <w:sz w:val="19"/>
          <w:lang w:val="pt-BR" w:eastAsia="en-US" w:bidi="ar-SA"/>
        </w:rPr>
        <w:t>Fornecedores são identificados por Código e por um CNPJ estruturado.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 xml:space="preserve">3. Identificação Única das Movimentações: </w:t>
      </w:r>
      <w:r>
        <w:rPr>
          <w:rFonts w:ascii="Arial" w:hAnsi="Arial"/>
          <w:color w:val="334155"/>
          <w:sz w:val="19"/>
          <w:lang w:val="pt-BR" w:eastAsia="en-US" w:bidi="ar-SA"/>
        </w:rPr>
        <w:t>Movimentações de estoque possuem um Código de identificação exclusivo.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 xml:space="preserve">4. Validação de CNPJ Único: </w:t>
      </w:r>
      <w:r>
        <w:rPr>
          <w:rFonts w:ascii="Arial" w:hAnsi="Arial"/>
          <w:color w:val="334155"/>
          <w:sz w:val="19"/>
          <w:lang w:val="pt-BR" w:eastAsia="en-US" w:bidi="ar-SA"/>
        </w:rPr>
        <w:t>Não é permitido o cadastro de dois fornecedores com o mesmo CNPJ.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 xml:space="preserve">5. Validação de Código Único de Produto: </w:t>
      </w:r>
      <w:r>
        <w:rPr>
          <w:rFonts w:ascii="Arial" w:hAnsi="Arial"/>
          <w:color w:val="334155"/>
          <w:sz w:val="19"/>
          <w:lang w:val="pt-BR" w:eastAsia="en-US" w:bidi="ar-SA"/>
        </w:rPr>
        <w:t>Não é permitido o cadastro de dois produtos com o mesmo Código.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 xml:space="preserve">6. Relacionamento de Cadastro de Produto: </w:t>
      </w:r>
      <w:r>
        <w:rPr>
          <w:rFonts w:ascii="Arial" w:hAnsi="Arial"/>
          <w:color w:val="334155"/>
          <w:sz w:val="19"/>
          <w:lang w:val="pt-BR" w:eastAsia="en-US" w:bidi="ar-SA"/>
        </w:rPr>
        <w:t>Para registrar um produto, é obrigatório informar um fornecedor existente no sistema. Caso o fornecedor não exista, o fluxo disponibiliza a opção de cadastrá-lo imediatamente.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 xml:space="preserve">7. Relacionamento de Movimentação: </w:t>
      </w:r>
      <w:r>
        <w:rPr>
          <w:rFonts w:ascii="Arial" w:hAnsi="Arial"/>
          <w:color w:val="334155"/>
          <w:sz w:val="19"/>
          <w:lang w:val="pt-BR" w:eastAsia="en-US" w:bidi="ar-SA"/>
        </w:rPr>
        <w:t>Para registrar uma movimentação de estoque, o produto selecionado deve estar cadastrado.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 xml:space="preserve">8. Controle de Saldo de Estoque: 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Toda movimentação de produto, </w:t>
      </w:r>
      <w:r>
        <w:rPr>
          <w:rFonts w:ascii="Arial" w:hAnsi="Arial"/>
          <w:color w:val="334155"/>
          <w:sz w:val="19"/>
          <w:lang w:val="pt-BR" w:eastAsia="en-US" w:bidi="ar-SA"/>
        </w:rPr>
        <w:t>se for do tipo de Saída,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 deduz fisicamente a quantidade do estoque do produto. </w:t>
      </w:r>
      <w:r>
        <w:rPr>
          <w:rFonts w:ascii="Arial" w:hAnsi="Arial"/>
          <w:color w:val="334155"/>
          <w:sz w:val="19"/>
          <w:lang w:val="pt-BR" w:eastAsia="en-US" w:bidi="ar-SA"/>
        </w:rPr>
        <w:t>Caso contrário ele soma o valor movimentado ao estoque atual.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 O sistema impede movimentações cujo saldo resultante seja negativo, mostrando erro de estoque insuficiente e reiniciando a entrada.</w:t>
      </w:r>
    </w:p>
    <w:p>
      <w:pPr>
        <w:pStyle w:val="Normal"/>
        <w:spacing w:lineRule="auto" w:line="276" w:before="0" w:after="120"/>
        <w:rPr/>
      </w:pPr>
      <w:r>
        <w:rPr>
          <w:rFonts w:ascii="Arial" w:hAnsi="Arial"/>
          <w:b/>
          <w:color w:val="334155"/>
          <w:sz w:val="19"/>
          <w:lang w:val="pt-BR" w:eastAsia="en-US" w:bidi="ar-SA"/>
        </w:rPr>
        <w:t xml:space="preserve">9. Estorno na Exclusão de Movimentação: </w:t>
      </w:r>
      <w:r>
        <w:rPr>
          <w:rFonts w:ascii="Arial" w:hAnsi="Arial"/>
          <w:color w:val="334155"/>
          <w:sz w:val="19"/>
          <w:lang w:val="pt-BR" w:eastAsia="en-US" w:bidi="ar-SA"/>
        </w:rPr>
        <w:t>Na exclusão de uma movimentação, a quantidade movimentada é estornada (somada de volta) ao estoque do produto.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 xml:space="preserve">10. Estorno na Alteração de Movimentação: </w:t>
      </w:r>
      <w:r>
        <w:rPr>
          <w:rFonts w:ascii="Arial" w:hAnsi="Arial"/>
          <w:color w:val="334155"/>
          <w:sz w:val="19"/>
          <w:lang w:val="pt-BR" w:eastAsia="en-US" w:bidi="ar-SA"/>
        </w:rPr>
        <w:t>Na alteração, o sistema devolve o estoque anterior temporariamente para validar o novo lançamento contra o estoque atualizado.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 xml:space="preserve">11. Persistência dos Dados: </w:t>
      </w:r>
      <w:r>
        <w:rPr>
          <w:rFonts w:ascii="Arial" w:hAnsi="Arial"/>
          <w:color w:val="334155"/>
          <w:sz w:val="19"/>
          <w:lang w:val="pt-BR" w:eastAsia="en-US" w:bidi="ar-SA"/>
        </w:rPr>
        <w:t>Os dados são mantidos em coleções estáticas em memória (Listas). Encerrando o aplicativo, os dados são resetados.</w:t>
      </w:r>
    </w:p>
    <w:p>
      <w:pPr>
        <w:pStyle w:val="Normal"/>
        <w:spacing w:before="360" w:after="160"/>
        <w:rPr>
          <w:lang w:val="pt-BR" w:eastAsia="en-US" w:bidi="ar-SA"/>
        </w:rPr>
      </w:pPr>
      <w:r>
        <w:rPr>
          <w:rFonts w:ascii="Arial" w:hAnsi="Arial"/>
          <w:b/>
          <w:color w:val="0F172A"/>
          <w:sz w:val="28"/>
          <w:lang w:val="pt-BR" w:eastAsia="en-US" w:bidi="ar-SA"/>
        </w:rPr>
        <w:t>3. Requisitos Funcionais</w:t>
      </w:r>
    </w:p>
    <w:tbl>
      <w:tblPr>
        <w:tblStyle w:val="LightShading-Accent1"/>
        <w:tblW w:w="8606" w:type="dxa"/>
        <w:jc w:val="start"/>
        <w:tblInd w:w="3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725"/>
        <w:gridCol w:w="2999"/>
        <w:gridCol w:w="2882"/>
      </w:tblGrid>
      <w:tr>
        <w:trPr/>
        <w:tc>
          <w:tcPr>
            <w:tcW w:w="2725" w:type="dxa"/>
            <w:tcBorders>
              <w:start w:val="single" w:sz="8" w:space="0" w:color="4F81BD"/>
              <w:bottom w:val="nil"/>
            </w:tcBorders>
            <w:shd w:fill="0F172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lang w:val="pt-BR" w:eastAsia="en-US" w:bidi="ar-SA"/>
              </w:rPr>
            </w:pPr>
            <w:r>
              <w:rPr>
                <w:rFonts w:eastAsia="ＭＳ 明朝" w:cs=""/>
                <w:b/>
                <w:bCs/>
                <w:color w:val="FFFFFF"/>
                <w:kern w:val="0"/>
                <w:sz w:val="22"/>
                <w:szCs w:val="22"/>
                <w:lang w:val="pt-BR" w:eastAsia="en-US" w:bidi="ar-SA"/>
              </w:rPr>
              <w:t>ID</w:t>
            </w:r>
          </w:p>
        </w:tc>
        <w:tc>
          <w:tcPr>
            <w:tcW w:w="2999" w:type="dxa"/>
            <w:tcBorders>
              <w:bottom w:val="nil"/>
            </w:tcBorders>
            <w:shd w:fill="0F172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lang w:val="pt-BR" w:eastAsia="en-US" w:bidi="ar-SA"/>
              </w:rPr>
            </w:pPr>
            <w:r>
              <w:rPr>
                <w:rFonts w:eastAsia="ＭＳ 明朝" w:cs=""/>
                <w:b/>
                <w:bCs/>
                <w:color w:val="FFFFFF"/>
                <w:kern w:val="0"/>
                <w:sz w:val="22"/>
                <w:szCs w:val="22"/>
                <w:lang w:val="pt-BR" w:eastAsia="en-US" w:bidi="ar-SA"/>
              </w:rPr>
              <w:t>Nome</w:t>
            </w:r>
          </w:p>
        </w:tc>
        <w:tc>
          <w:tcPr>
            <w:tcW w:w="2882" w:type="dxa"/>
            <w:tcBorders>
              <w:bottom w:val="nil"/>
              <w:end w:val="single" w:sz="8" w:space="0" w:color="4F81BD"/>
            </w:tcBorders>
            <w:shd w:fill="0F172A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lang w:val="pt-BR" w:eastAsia="en-US" w:bidi="ar-SA"/>
              </w:rPr>
            </w:pPr>
            <w:r>
              <w:rPr>
                <w:rFonts w:eastAsia="ＭＳ 明朝" w:cs=""/>
                <w:b/>
                <w:bCs/>
                <w:color w:val="FFFFFF"/>
                <w:kern w:val="0"/>
                <w:sz w:val="22"/>
                <w:szCs w:val="22"/>
                <w:lang w:val="pt-BR" w:eastAsia="en-US" w:bidi="ar-SA"/>
              </w:rPr>
              <w:t>Descrição</w:t>
            </w:r>
          </w:p>
        </w:tc>
      </w:tr>
      <w:tr>
        <w:trPr/>
        <w:tc>
          <w:tcPr>
            <w:tcW w:w="2725" w:type="dxa"/>
            <w:tcBorders>
              <w:top w:val="nil"/>
              <w:start w:val="single" w:sz="8" w:space="0" w:color="4F81BD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lang w:val="pt-BR" w:eastAsia="en-US" w:bidi="ar-SA"/>
              </w:rPr>
            </w:pPr>
            <w:r>
              <w:rPr>
                <w:rFonts w:eastAsia="ＭＳ 明朝" w:cs=""/>
                <w:b/>
                <w:bCs/>
                <w:color w:val="334155"/>
                <w:kern w:val="0"/>
                <w:sz w:val="18"/>
                <w:szCs w:val="22"/>
                <w:lang w:val="pt-BR" w:eastAsia="en-US" w:bidi="ar-SA"/>
              </w:rPr>
              <w:t>RF01</w:t>
            </w:r>
          </w:p>
        </w:tc>
        <w:tc>
          <w:tcPr>
            <w:tcW w:w="2999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Gerenciar Produtos</w:t>
            </w:r>
          </w:p>
        </w:tc>
        <w:tc>
          <w:tcPr>
            <w:tcW w:w="2882" w:type="dxa"/>
            <w:tcBorders>
              <w:top w:val="nil"/>
              <w:bottom w:val="nil"/>
              <w:end w:val="single" w:sz="8" w:space="0" w:color="4F81BD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Permite cadastrar, consultar, alterar e excluir produtos. Os dados incluem código, descrição, categoria (enum), preço, estoque e fornecedor.</w:t>
            </w:r>
          </w:p>
        </w:tc>
      </w:tr>
      <w:tr>
        <w:trPr/>
        <w:tc>
          <w:tcPr>
            <w:tcW w:w="2725" w:type="dxa"/>
            <w:tcBorders>
              <w:top w:val="nil"/>
              <w:start w:val="single" w:sz="8" w:space="0" w:color="4F81BD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lang w:val="pt-BR" w:eastAsia="en-US" w:bidi="ar-SA"/>
              </w:rPr>
            </w:pPr>
            <w:r>
              <w:rPr>
                <w:rFonts w:eastAsia="ＭＳ 明朝" w:cs=""/>
                <w:b/>
                <w:bCs/>
                <w:color w:val="334155"/>
                <w:kern w:val="0"/>
                <w:sz w:val="18"/>
                <w:szCs w:val="22"/>
                <w:lang w:val="pt-BR" w:eastAsia="en-US" w:bidi="ar-SA"/>
              </w:rPr>
              <w:t>RF02</w:t>
            </w:r>
          </w:p>
        </w:tc>
        <w:tc>
          <w:tcPr>
            <w:tcW w:w="299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Gerenciar Fornecedores</w:t>
            </w:r>
          </w:p>
        </w:tc>
        <w:tc>
          <w:tcPr>
            <w:tcW w:w="2882" w:type="dxa"/>
            <w:tcBorders>
              <w:top w:val="nil"/>
              <w:bottom w:val="nil"/>
              <w:end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Permite cadastrar, consultar, alterar e excluir fornecedores. O CNPJ é validado contra duplicidade no sistema.</w:t>
            </w:r>
          </w:p>
        </w:tc>
      </w:tr>
      <w:tr>
        <w:trPr/>
        <w:tc>
          <w:tcPr>
            <w:tcW w:w="2725" w:type="dxa"/>
            <w:tcBorders>
              <w:top w:val="nil"/>
              <w:start w:val="single" w:sz="8" w:space="0" w:color="4F81BD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lang w:val="pt-BR" w:eastAsia="en-US" w:bidi="ar-SA"/>
              </w:rPr>
            </w:pPr>
            <w:r>
              <w:rPr>
                <w:rFonts w:eastAsia="ＭＳ 明朝" w:cs=""/>
                <w:b/>
                <w:bCs/>
                <w:color w:val="334155"/>
                <w:kern w:val="0"/>
                <w:sz w:val="18"/>
                <w:szCs w:val="22"/>
                <w:lang w:val="pt-BR" w:eastAsia="en-US" w:bidi="ar-SA"/>
              </w:rPr>
              <w:t>RF03</w:t>
            </w:r>
          </w:p>
        </w:tc>
        <w:tc>
          <w:tcPr>
            <w:tcW w:w="2999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Registrar Movimentação</w:t>
            </w:r>
          </w:p>
        </w:tc>
        <w:tc>
          <w:tcPr>
            <w:tcW w:w="2882" w:type="dxa"/>
            <w:tcBorders>
              <w:top w:val="nil"/>
              <w:bottom w:val="nil"/>
              <w:end w:val="single" w:sz="8" w:space="0" w:color="4F81BD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Registra movimentações vinculando código do produto, data e quantidade, validando e subtraindo a quantidade física do estoque.</w:t>
            </w:r>
          </w:p>
        </w:tc>
      </w:tr>
      <w:tr>
        <w:trPr/>
        <w:tc>
          <w:tcPr>
            <w:tcW w:w="2725" w:type="dxa"/>
            <w:tcBorders>
              <w:top w:val="nil"/>
              <w:start w:val="single" w:sz="8" w:space="0" w:color="4F81BD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lang w:val="pt-BR" w:eastAsia="en-US" w:bidi="ar-SA"/>
              </w:rPr>
            </w:pPr>
            <w:r>
              <w:rPr>
                <w:rFonts w:eastAsia="ＭＳ 明朝" w:cs=""/>
                <w:b/>
                <w:bCs/>
                <w:color w:val="334155"/>
                <w:kern w:val="0"/>
                <w:sz w:val="18"/>
                <w:szCs w:val="22"/>
                <w:lang w:val="pt-BR" w:eastAsia="en-US" w:bidi="ar-SA"/>
              </w:rPr>
              <w:t>RF04</w:t>
            </w:r>
          </w:p>
        </w:tc>
        <w:tc>
          <w:tcPr>
            <w:tcW w:w="299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Consultar Movimentação</w:t>
            </w:r>
          </w:p>
        </w:tc>
        <w:tc>
          <w:tcPr>
            <w:tcW w:w="2882" w:type="dxa"/>
            <w:tcBorders>
              <w:top w:val="nil"/>
              <w:bottom w:val="nil"/>
              <w:end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Permite consultar lançamentos anteriores informando o código da movimentação.</w:t>
            </w:r>
          </w:p>
        </w:tc>
      </w:tr>
      <w:tr>
        <w:trPr/>
        <w:tc>
          <w:tcPr>
            <w:tcW w:w="2725" w:type="dxa"/>
            <w:tcBorders>
              <w:top w:val="nil"/>
              <w:start w:val="single" w:sz="8" w:space="0" w:color="4F81BD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lang w:val="pt-BR" w:eastAsia="en-US" w:bidi="ar-SA"/>
              </w:rPr>
            </w:pPr>
            <w:r>
              <w:rPr>
                <w:rFonts w:eastAsia="ＭＳ 明朝" w:cs=""/>
                <w:b/>
                <w:bCs/>
                <w:color w:val="334155"/>
                <w:kern w:val="0"/>
                <w:sz w:val="18"/>
                <w:szCs w:val="22"/>
                <w:lang w:val="pt-BR" w:eastAsia="en-US" w:bidi="ar-SA"/>
              </w:rPr>
              <w:t>RF05</w:t>
            </w:r>
          </w:p>
        </w:tc>
        <w:tc>
          <w:tcPr>
            <w:tcW w:w="2999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Excluir Movimentação</w:t>
            </w:r>
          </w:p>
        </w:tc>
        <w:tc>
          <w:tcPr>
            <w:tcW w:w="2882" w:type="dxa"/>
            <w:tcBorders>
              <w:top w:val="nil"/>
              <w:bottom w:val="nil"/>
              <w:end w:val="single" w:sz="8" w:space="0" w:color="4F81BD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Remove uma movimentação cadastrada e estorna a quantidade movimentada de volta ao estoque do produto correspondente.</w:t>
            </w:r>
          </w:p>
        </w:tc>
      </w:tr>
      <w:tr>
        <w:trPr/>
        <w:tc>
          <w:tcPr>
            <w:tcW w:w="2725" w:type="dxa"/>
            <w:tcBorders>
              <w:top w:val="nil"/>
              <w:start w:val="single" w:sz="8" w:space="0" w:color="4F81BD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lang w:val="pt-BR" w:eastAsia="en-US" w:bidi="ar-SA"/>
              </w:rPr>
            </w:pPr>
            <w:r>
              <w:rPr>
                <w:rFonts w:eastAsia="ＭＳ 明朝" w:cs=""/>
                <w:b/>
                <w:bCs/>
                <w:color w:val="334155"/>
                <w:kern w:val="0"/>
                <w:sz w:val="18"/>
                <w:szCs w:val="22"/>
                <w:lang w:val="pt-BR" w:eastAsia="en-US" w:bidi="ar-SA"/>
              </w:rPr>
              <w:t>RF06</w:t>
            </w:r>
          </w:p>
        </w:tc>
        <w:tc>
          <w:tcPr>
            <w:tcW w:w="299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Relatório de Produtos</w:t>
            </w:r>
          </w:p>
        </w:tc>
        <w:tc>
          <w:tcPr>
            <w:tcW w:w="2882" w:type="dxa"/>
            <w:tcBorders>
              <w:top w:val="nil"/>
              <w:bottom w:val="nil"/>
              <w:end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Exibe tabela formatada com todos os produtos, categorias, preços, estoque atual e seus respectivos fornecedores.</w:t>
            </w:r>
          </w:p>
        </w:tc>
      </w:tr>
      <w:tr>
        <w:trPr/>
        <w:tc>
          <w:tcPr>
            <w:tcW w:w="2725" w:type="dxa"/>
            <w:tcBorders>
              <w:top w:val="nil"/>
              <w:start w:val="single" w:sz="8" w:space="0" w:color="4F81BD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lang w:val="pt-BR" w:eastAsia="en-US" w:bidi="ar-SA"/>
              </w:rPr>
            </w:pPr>
            <w:r>
              <w:rPr>
                <w:rFonts w:eastAsia="ＭＳ 明朝" w:cs=""/>
                <w:b/>
                <w:bCs/>
                <w:color w:val="334155"/>
                <w:kern w:val="0"/>
                <w:sz w:val="18"/>
                <w:szCs w:val="22"/>
                <w:lang w:val="pt-BR" w:eastAsia="en-US" w:bidi="ar-SA"/>
              </w:rPr>
              <w:t>RF07</w:t>
            </w:r>
          </w:p>
        </w:tc>
        <w:tc>
          <w:tcPr>
            <w:tcW w:w="2999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Relatório de Fornecedores</w:t>
            </w:r>
          </w:p>
        </w:tc>
        <w:tc>
          <w:tcPr>
            <w:tcW w:w="2882" w:type="dxa"/>
            <w:tcBorders>
              <w:top w:val="nil"/>
              <w:bottom w:val="nil"/>
              <w:end w:val="single" w:sz="8" w:space="0" w:color="4F81BD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Exibe tabela formatada com código, CNPJ, nome e telefone de todos os fornecedores.</w:t>
            </w:r>
          </w:p>
        </w:tc>
      </w:tr>
      <w:tr>
        <w:trPr/>
        <w:tc>
          <w:tcPr>
            <w:tcW w:w="2725" w:type="dxa"/>
            <w:tcBorders>
              <w:top w:val="nil"/>
              <w:start w:val="single" w:sz="8" w:space="0" w:color="4F81BD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lang w:val="pt-BR" w:eastAsia="en-US" w:bidi="ar-SA"/>
              </w:rPr>
            </w:pPr>
            <w:r>
              <w:rPr>
                <w:rFonts w:eastAsia="ＭＳ 明朝" w:cs=""/>
                <w:b/>
                <w:bCs/>
                <w:color w:val="334155"/>
                <w:kern w:val="0"/>
                <w:sz w:val="18"/>
                <w:szCs w:val="22"/>
                <w:lang w:val="pt-BR" w:eastAsia="en-US" w:bidi="ar-SA"/>
              </w:rPr>
              <w:t>RF08</w:t>
            </w:r>
          </w:p>
        </w:tc>
        <w:tc>
          <w:tcPr>
            <w:tcW w:w="2999" w:type="dxa"/>
            <w:tcBorders>
              <w:top w:val="nil"/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Relatório de Movimentações</w:t>
            </w:r>
          </w:p>
        </w:tc>
        <w:tc>
          <w:tcPr>
            <w:tcW w:w="2882" w:type="dxa"/>
            <w:tcBorders>
              <w:top w:val="nil"/>
              <w:bottom w:val="nil"/>
              <w:end w:val="single" w:sz="8" w:space="0" w:color="4F81BD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Exibe histórico de movimentações efetuadas no estoque.</w:t>
            </w:r>
          </w:p>
        </w:tc>
      </w:tr>
      <w:tr>
        <w:trPr>
          <w:trHeight w:val="817" w:hRule="atLeast"/>
        </w:trPr>
        <w:tc>
          <w:tcPr>
            <w:tcW w:w="2725" w:type="dxa"/>
            <w:tcBorders>
              <w:top w:val="nil"/>
              <w:start w:val="single" w:sz="8" w:space="0" w:color="4F81BD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  <w:lang w:val="pt-BR" w:eastAsia="en-US" w:bidi="ar-SA"/>
              </w:rPr>
            </w:pPr>
            <w:r>
              <w:rPr>
                <w:rFonts w:eastAsia="ＭＳ 明朝" w:cs=""/>
                <w:b/>
                <w:bCs/>
                <w:color w:val="334155"/>
                <w:kern w:val="0"/>
                <w:sz w:val="18"/>
                <w:szCs w:val="22"/>
                <w:lang w:val="pt-BR" w:eastAsia="en-US" w:bidi="ar-SA"/>
              </w:rPr>
              <w:t>RF09</w:t>
            </w:r>
          </w:p>
        </w:tc>
        <w:tc>
          <w:tcPr>
            <w:tcW w:w="2999" w:type="dxa"/>
            <w:tcBorders>
              <w:top w:val="nil"/>
              <w:bottom w:val="nil"/>
            </w:tcBorders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lang w:val="pt-BR" w:eastAsia="en-US" w:bidi="ar-SA"/>
              </w:rPr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>Interface CLI Dinâmica</w:t>
            </w:r>
          </w:p>
        </w:tc>
        <w:tc>
          <w:tcPr>
            <w:tcW w:w="2882" w:type="dxa"/>
            <w:tcBorders>
              <w:top w:val="nil"/>
              <w:bottom w:val="nil"/>
              <w:end w:val="single" w:sz="8" w:space="0" w:color="4F81BD"/>
            </w:tcBorders>
            <w:shd w:color="auto" w:fill="D3DFEE" w:themeFill="accent1" w:themeFillTint="3f" w:val="clear"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 xml:space="preserve">Apresenta menu interativo com molduras ASCII e tratamento </w:t>
            </w:r>
            <w:r>
              <w:rPr>
                <w:rFonts w:eastAsia="ＭＳ 明朝"/>
                <w:color w:val="334155"/>
                <w:sz w:val="18"/>
                <w:lang w:val="pt-BR"/>
              </w:rPr>
              <w:t>resiliente</w:t>
            </w:r>
            <w:r>
              <w:rPr>
                <w:rFonts w:eastAsia="ＭＳ 明朝" w:cs=""/>
                <w:color w:val="334155"/>
                <w:kern w:val="0"/>
                <w:sz w:val="18"/>
                <w:szCs w:val="22"/>
                <w:lang w:val="pt-BR" w:eastAsia="en-US" w:bidi="ar-SA"/>
              </w:rPr>
              <w:t xml:space="preserve"> para execução sem console físico.</w:t>
            </w:r>
          </w:p>
        </w:tc>
      </w:tr>
      <w:tr>
        <w:trPr>
          <w:trHeight w:val="628" w:hRule="atLeast"/>
        </w:trPr>
        <w:tc>
          <w:tcPr>
            <w:tcW w:w="2725" w:type="dxa"/>
            <w:tcBorders>
              <w:top w:val="nil"/>
              <w:start w:val="single" w:sz="8" w:space="0" w:color="4F81BD"/>
            </w:tcBorders>
            <w:shd w:fill="FFFFFF" w:val="clea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eastAsia="ＭＳ 明朝"/>
                <w:b/>
                <w:bCs/>
                <w:color w:val="334155"/>
                <w:sz w:val="18"/>
                <w:lang w:val="pt-BR"/>
              </w:rPr>
            </w:pPr>
            <w:r>
              <w:rPr>
                <w:rFonts w:eastAsia="ＭＳ 明朝"/>
                <w:b/>
                <w:bCs/>
                <w:color w:val="334155"/>
                <w:sz w:val="18"/>
                <w:lang w:val="pt-BR"/>
              </w:rPr>
              <w:t>RF10</w:t>
            </w:r>
          </w:p>
        </w:tc>
        <w:tc>
          <w:tcPr>
            <w:tcW w:w="2999" w:type="dxa"/>
            <w:tcBorders>
              <w:top w:val="nil"/>
            </w:tcBorders>
            <w:shd w:fill="FFFFFF" w:val="clea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eastAsia="ＭＳ 明朝"/>
                <w:color w:val="334155"/>
                <w:sz w:val="18"/>
                <w:lang w:val="pt-BR"/>
              </w:rPr>
            </w:pPr>
            <w:r>
              <w:rPr>
                <w:rFonts w:eastAsia="ＭＳ 明朝"/>
                <w:color w:val="334155"/>
                <w:sz w:val="18"/>
                <w:lang w:val="pt-BR"/>
              </w:rPr>
              <w:t>Relatório de Produtos com baixa de estoque</w:t>
            </w:r>
          </w:p>
        </w:tc>
        <w:tc>
          <w:tcPr>
            <w:tcW w:w="2882" w:type="dxa"/>
            <w:tcBorders>
              <w:top w:val="nil"/>
              <w:end w:val="single" w:sz="8" w:space="0" w:color="4F81BD"/>
            </w:tcBorders>
            <w:shd w:fill="FFFFFF" w:val="clear"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eastAsia="ＭＳ 明朝"/>
                <w:color w:val="334155"/>
                <w:sz w:val="18"/>
                <w:lang w:val="pt-BR"/>
              </w:rPr>
            </w:pPr>
            <w:r>
              <w:rPr>
                <w:rFonts w:eastAsia="ＭＳ 明朝"/>
                <w:color w:val="334155"/>
                <w:sz w:val="18"/>
                <w:lang w:val="pt-BR"/>
              </w:rPr>
              <w:t>Relatório demonstra os produtos que tem menos de 5 unidades disponíveis no estoque.</w:t>
            </w:r>
          </w:p>
        </w:tc>
      </w:tr>
    </w:tbl>
    <w:p>
      <w:pPr>
        <w:pStyle w:val="Normal"/>
        <w:spacing w:before="360" w:after="160"/>
        <w:rPr/>
      </w:pPr>
      <w:r>
        <w:rPr>
          <w:rFonts w:ascii="Arial" w:hAnsi="Arial"/>
          <w:b/>
          <w:color w:val="0F172A"/>
          <w:sz w:val="28"/>
          <w:lang w:val="pt-BR" w:eastAsia="en-US" w:bidi="ar-SA"/>
        </w:rPr>
        <w:t>4. Casos de Uso</w:t>
      </w:r>
    </w:p>
    <w:p>
      <w:pPr>
        <w:pStyle w:val="Normal"/>
        <w:spacing w:before="240" w:after="80"/>
        <w:rPr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t>UC01: Manter Produtos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>Ator: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 Usuário (Lojista)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>Fluxo Principal: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 O usuário seleciona 'Produtos', informa o Código do produto. Se o produto não existe, o sistema pergunta se deseja cadastrar. Solicita Descrição, Categoria (0 a 5), Quantidade e Preço, e o código do Fornecedor. Caso o fornecedor não exista, inicia o fluxo UC02 de cadastro de fornecedor. Se o produto já existe, exibe os dados atuais e oferece opções para alterar ou excluir.</w:t>
      </w:r>
    </w:p>
    <w:p>
      <w:pPr>
        <w:pStyle w:val="Normal"/>
        <w:spacing w:before="240" w:after="80"/>
        <w:rPr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t>UC02: Manter Fornecedores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>Ator: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 Usuário (Lojista)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>Fluxo Principal: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 O usuário seleciona 'Fornecedores', informa o Código. Se não existe, solicita CNPJ, Nome e Telefone. O CNPJ é verificado contra duplicidade. Se existe, exibe os dados e permite A/E/V.</w:t>
      </w:r>
    </w:p>
    <w:p>
      <w:pPr>
        <w:pStyle w:val="Normal"/>
        <w:spacing w:before="240" w:after="80"/>
        <w:rPr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t>UC03: Lançar Movimentação de Estoque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>Ator: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 Usuário (Lojista)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>Fluxo Principal: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 O usuário acessa 'Movimentações', informa o Código da movimentação. Se não existe, solicita Data, Quantidade Movimentada e Código do Produto. O sistema busca o produto por código. Se o produto não for encontrado, oferece opção para cadastrar novo produto, listar cadastrados ou cancelar a operação. Se encontrado, valida se há quantidade em estoque suficiente. Se sim, abate a quantidade do estoque do produto e grava a movimentação.</w:t>
      </w:r>
    </w:p>
    <w:p>
      <w:pPr>
        <w:pStyle w:val="Normal"/>
        <w:spacing w:before="240" w:after="80"/>
        <w:rPr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t>UC04: Visualizar Relatórios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>Ator: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 Usuário (Lojista)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b/>
          <w:color w:val="334155"/>
          <w:sz w:val="19"/>
          <w:lang w:val="pt-BR" w:eastAsia="en-US" w:bidi="ar-SA"/>
        </w:rPr>
        <w:t>Fluxo Principal:</w:t>
      </w:r>
      <w:r>
        <w:rPr>
          <w:rFonts w:ascii="Arial" w:hAnsi="Arial"/>
          <w:color w:val="334155"/>
          <w:sz w:val="19"/>
          <w:lang w:val="pt-BR" w:eastAsia="en-US" w:bidi="ar-SA"/>
        </w:rPr>
        <w:t xml:space="preserve"> O usuário seleciona o relatório correspondente (Produtos, Fornecedores ou Movimentações). O sistema limpa a tela, monta o cabeçalho e renderiza a lista formatada de registros. Ao fim, solicita pressionar qualquer tecla para retornar ao menu principal.</w:t>
      </w:r>
    </w:p>
    <w:p>
      <w:pPr>
        <w:pStyle w:val="Normal"/>
        <w:spacing w:before="360" w:after="160"/>
        <w:rPr>
          <w:lang w:val="pt-BR" w:eastAsia="en-US" w:bidi="ar-SA"/>
        </w:rPr>
      </w:pPr>
      <w:r>
        <w:rPr>
          <w:rFonts w:ascii="Arial" w:hAnsi="Arial"/>
          <w:b/>
          <w:color w:val="0F172A"/>
          <w:sz w:val="28"/>
          <w:lang w:val="pt-BR" w:eastAsia="en-US" w:bidi="ar-SA"/>
        </w:rPr>
        <w:t>5. Diagrama de Classes de Análise</w:t>
      </w:r>
    </w:p>
    <w:p>
      <w:pPr>
        <w:pStyle w:val="Normal"/>
        <w:spacing w:lineRule="auto" w:line="276" w:before="0" w:after="120"/>
        <w:rPr>
          <w:lang w:val="pt-BR" w:eastAsia="en-US" w:bidi="ar-SA"/>
        </w:rPr>
      </w:pPr>
      <w:r>
        <w:rPr>
          <w:rFonts w:ascii="Arial" w:hAnsi="Arial"/>
          <w:color w:val="334155"/>
          <w:sz w:val="19"/>
          <w:lang w:val="pt-BR" w:eastAsia="en-US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869315</wp:posOffset>
            </wp:positionH>
            <wp:positionV relativeFrom="paragraph">
              <wp:posOffset>351155</wp:posOffset>
            </wp:positionV>
            <wp:extent cx="1950085" cy="2926715"/>
            <wp:effectExtent l="0" t="0" r="0" b="0"/>
            <wp:wrapTopAndBottom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085" cy="292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334155"/>
          <w:sz w:val="19"/>
          <w:lang w:val="pt-BR" w:eastAsia="en-US" w:bidi="ar-SA"/>
        </w:rPr>
        <w:t>Abaixo estão todas as entidades e suas associações:</w:t>
      </w:r>
    </w:p>
    <w:p>
      <w:pPr>
        <w:pStyle w:val="Normal"/>
        <w:rPr>
          <w:b/>
          <w:lang w:val="pt-BR" w:eastAsia="en-US" w:bidi="ar-SA"/>
        </w:rPr>
      </w:pPr>
      <w:r>
        <w:rPr>
          <w:b/>
          <w:lang w:val="pt-BR" w:eastAsia="en-US" w:bidi="ar-SA"/>
        </w:rPr>
      </w:r>
    </w:p>
    <w:p>
      <w:pPr>
        <w:pStyle w:val="Normal"/>
        <w:spacing w:before="360" w:after="160"/>
        <w:rPr>
          <w:lang w:val="pt-BR" w:eastAsia="en-US" w:bidi="ar-SA"/>
        </w:rPr>
      </w:pPr>
      <w:r>
        <w:rPr>
          <w:rFonts w:ascii="Arial" w:hAnsi="Arial"/>
          <w:b/>
          <w:color w:val="0F172A"/>
          <w:sz w:val="28"/>
          <w:lang w:val="pt-BR" w:eastAsia="en-US" w:bidi="ar-SA"/>
        </w:rPr>
        <w:t>6</w:t>
      </w:r>
      <w:r>
        <w:rPr>
          <w:rFonts w:ascii="Arial" w:hAnsi="Arial"/>
          <w:b/>
          <w:color w:val="0F172A"/>
          <w:sz w:val="28"/>
          <w:lang w:val="pt-BR" w:eastAsia="en-US" w:bidi="ar-SA"/>
        </w:rPr>
        <w:t xml:space="preserve">. Diagrama de Classes de </w:t>
      </w:r>
      <w:r>
        <w:rPr>
          <w:rFonts w:ascii="Arial" w:hAnsi="Arial"/>
          <w:b/>
          <w:color w:val="0F172A"/>
          <w:sz w:val="28"/>
          <w:lang w:val="pt-BR" w:eastAsia="en-US" w:bidi="ar-SA"/>
        </w:rPr>
        <w:t>Projeto</w:t>
      </w:r>
    </w:p>
    <w:p>
      <w:pPr>
        <w:pStyle w:val="Normal"/>
        <w:rPr>
          <w:lang w:val="pt-BR" w:eastAsia="en-US" w:bidi="ar-SA"/>
        </w:rPr>
      </w:pPr>
      <w:r>
        <w:rPr>
          <w:lang w:val="pt-BR" w:eastAsia="en-US" w:bidi="ar-SA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86639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6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360" w:after="160"/>
        <w:rPr>
          <w:rFonts w:ascii="Arial" w:hAnsi="Arial"/>
          <w:b/>
          <w:color w:val="0F172A"/>
          <w:sz w:val="28"/>
          <w:lang w:val="pt-BR" w:eastAsia="en-US" w:bidi="ar-SA"/>
        </w:rPr>
      </w:pPr>
      <w:r>
        <w:rPr>
          <w:rFonts w:ascii="Arial" w:hAnsi="Arial"/>
          <w:b/>
          <w:color w:val="0F172A"/>
          <w:sz w:val="28"/>
          <w:lang w:val="pt-BR" w:eastAsia="en-US" w:bidi="ar-SA"/>
        </w:rPr>
      </w:r>
      <w:r>
        <w:br w:type="page"/>
      </w:r>
    </w:p>
    <w:p>
      <w:pPr>
        <w:pStyle w:val="Normal"/>
        <w:spacing w:before="360" w:after="160"/>
        <w:rPr>
          <w:lang w:val="pt-BR" w:eastAsia="en-US" w:bidi="ar-SA"/>
        </w:rPr>
      </w:pPr>
      <w:r>
        <w:rPr>
          <w:rFonts w:ascii="Arial" w:hAnsi="Arial"/>
          <w:b/>
          <w:color w:val="0F172A"/>
          <w:sz w:val="28"/>
          <w:lang w:val="pt-BR" w:eastAsia="en-US" w:bidi="ar-SA"/>
        </w:rPr>
        <w:t>7</w:t>
      </w:r>
      <w:r>
        <w:rPr>
          <w:rFonts w:ascii="Arial" w:hAnsi="Arial"/>
          <w:b/>
          <w:color w:val="0F172A"/>
          <w:sz w:val="28"/>
          <w:lang w:val="pt-BR" w:eastAsia="en-US" w:bidi="ar-SA"/>
        </w:rPr>
        <w:t>. Mocks de Tela (ASCII Art)</w:t>
      </w:r>
    </w:p>
    <w:p>
      <w:pPr>
        <w:pStyle w:val="Normal"/>
        <w:spacing w:before="240" w:after="80"/>
        <w:rPr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t>Tela Principal (Menu)</w:t>
      </w:r>
    </w:p>
    <w:p>
      <w:pPr>
        <w:pStyle w:val="Normal"/>
        <w:spacing w:before="0" w:after="40"/>
        <w:ind w:start="288"/>
        <w:rPr>
          <w:rFonts w:ascii="Consolas" w:hAnsi="Consolas"/>
          <w:color w:val="0F172A"/>
          <w:sz w:val="17"/>
        </w:rPr>
      </w:pPr>
      <w:r>
        <w:rPr>
          <w:lang w:val="pt-BR" w:eastAsia="en-US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2835" cy="3024505"/>
            <wp:effectExtent l="0" t="0" r="0" b="0"/>
            <wp:wrapTopAndBottom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835" cy="302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40" w:after="80"/>
        <w:rPr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t>Tela de Cadastro de Produtos (CRUD)</w:t>
      </w:r>
    </w:p>
    <w:p>
      <w:pPr>
        <w:pStyle w:val="Normal"/>
        <w:spacing w:before="0" w:after="40"/>
        <w:ind w:start="288"/>
        <w:rPr>
          <w:rFonts w:ascii="Consolas" w:hAnsi="Consolas"/>
          <w:color w:val="0F172A"/>
          <w:sz w:val="17"/>
        </w:rPr>
      </w:pPr>
      <w:r>
        <w:rPr>
          <w:lang w:val="pt-BR" w:eastAsia="en-US" w:bidi="ar-SA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1105" cy="3107690"/>
            <wp:effectExtent l="0" t="0" r="0" b="0"/>
            <wp:wrapTopAndBottom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05" cy="310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40" w:after="80"/>
        <w:rPr>
          <w:rFonts w:ascii="Arial" w:hAnsi="Arial"/>
          <w:b/>
          <w:color w:val="334155"/>
          <w:sz w:val="22"/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</w:r>
      <w:r>
        <w:br w:type="page"/>
      </w:r>
    </w:p>
    <w:p>
      <w:pPr>
        <w:pStyle w:val="Normal"/>
        <w:spacing w:before="240" w:after="80"/>
        <w:rPr>
          <w:rFonts w:ascii="Arial" w:hAnsi="Arial"/>
          <w:b/>
          <w:color w:val="334155"/>
          <w:sz w:val="22"/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t>Tela de Cadastro de Fornecedores</w:t>
      </w:r>
    </w:p>
    <w:p>
      <w:pPr>
        <w:pStyle w:val="Normal"/>
        <w:spacing w:before="240" w:after="80"/>
        <w:rPr>
          <w:rFonts w:ascii="Arial" w:hAnsi="Arial"/>
          <w:b/>
          <w:color w:val="334155"/>
          <w:sz w:val="22"/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5535" cy="3008630"/>
            <wp:effectExtent l="0" t="0" r="0" b="0"/>
            <wp:wrapTopAndBottom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300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40" w:after="80"/>
        <w:rPr>
          <w:rFonts w:ascii="Arial" w:hAnsi="Arial"/>
          <w:b/>
          <w:color w:val="334155"/>
          <w:sz w:val="22"/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t>Movimentação de Produtos</w:t>
      </w:r>
    </w:p>
    <w:p>
      <w:pPr>
        <w:pStyle w:val="Normal"/>
        <w:spacing w:before="240" w:after="80"/>
        <w:rPr>
          <w:rFonts w:ascii="Arial" w:hAnsi="Arial"/>
          <w:b/>
          <w:color w:val="334155"/>
          <w:sz w:val="22"/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48835" cy="2839085"/>
            <wp:effectExtent l="0" t="0" r="0" b="0"/>
            <wp:wrapTopAndBottom/>
            <wp:docPr id="6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2839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240" w:after="80"/>
        <w:rPr>
          <w:rFonts w:ascii="Arial" w:hAnsi="Arial"/>
          <w:b/>
          <w:color w:val="334155"/>
          <w:sz w:val="22"/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</w:r>
      <w:r>
        <w:br w:type="page"/>
      </w:r>
    </w:p>
    <w:p>
      <w:pPr>
        <w:pStyle w:val="Normal"/>
        <w:spacing w:before="240" w:after="80"/>
        <w:rPr>
          <w:rFonts w:ascii="Arial" w:hAnsi="Arial"/>
          <w:b/>
          <w:color w:val="334155"/>
          <w:sz w:val="22"/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t>Tela de Relatório (Produtos Movimentados)</w:t>
      </w:r>
    </w:p>
    <w:p>
      <w:pPr>
        <w:pStyle w:val="Normal"/>
        <w:spacing w:before="240" w:after="80"/>
        <w:rPr>
          <w:rFonts w:ascii="Arial" w:hAnsi="Arial"/>
          <w:b/>
          <w:color w:val="334155"/>
          <w:sz w:val="22"/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1495" cy="2677160"/>
            <wp:effectExtent l="0" t="0" r="0" b="0"/>
            <wp:wrapTopAndBottom/>
            <wp:docPr id="7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495" cy="267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 xml:space="preserve">Tela de </w:t>
      </w: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649605</wp:posOffset>
            </wp:positionH>
            <wp:positionV relativeFrom="paragraph">
              <wp:posOffset>3089910</wp:posOffset>
            </wp:positionV>
            <wp:extent cx="4346575" cy="2717165"/>
            <wp:effectExtent l="0" t="0" r="0" b="0"/>
            <wp:wrapTopAndBottom/>
            <wp:docPr id="8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271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334155"/>
          <w:sz w:val="22"/>
          <w:lang w:val="pt-BR" w:eastAsia="en-US" w:bidi="ar-SA"/>
        </w:rPr>
        <w:t>Relatório (Produtos Cadastrados)</w:t>
      </w:r>
      <w:r>
        <w:br w:type="page"/>
      </w:r>
    </w:p>
    <w:p>
      <w:pPr>
        <w:pStyle w:val="Normal"/>
        <w:spacing w:before="0" w:after="40"/>
        <w:ind w:hanging="0" w:start="0"/>
        <w:rPr>
          <w:rFonts w:ascii="Consolas" w:hAnsi="Consolas"/>
          <w:b/>
          <w:color w:val="0F172A"/>
          <w:sz w:val="17"/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br/>
        <w:t>Tela de Relatório (</w:t>
      </w:r>
      <w:r>
        <w:rPr>
          <w:rFonts w:ascii="Arial" w:hAnsi="Arial"/>
          <w:b/>
          <w:color w:val="334155"/>
          <w:sz w:val="22"/>
          <w:lang w:val="pt-BR" w:eastAsia="en-US" w:bidi="ar-SA"/>
        </w:rPr>
        <w:t>Fornecedores</w:t>
      </w:r>
      <w:r>
        <w:rPr>
          <w:rFonts w:ascii="Arial" w:hAnsi="Arial"/>
          <w:b/>
          <w:color w:val="334155"/>
          <w:sz w:val="22"/>
          <w:lang w:val="pt-BR" w:eastAsia="en-US" w:bidi="ar-SA"/>
        </w:rPr>
        <w:t xml:space="preserve"> Cadastrados)</w:t>
      </w:r>
    </w:p>
    <w:p>
      <w:pPr>
        <w:pStyle w:val="Normal"/>
        <w:spacing w:before="0" w:after="40"/>
        <w:ind w:hanging="0" w:start="0"/>
        <w:rPr>
          <w:rFonts w:ascii="Arial" w:hAnsi="Arial"/>
          <w:b/>
          <w:color w:val="334155"/>
          <w:sz w:val="22"/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7465" cy="3152140"/>
            <wp:effectExtent l="0" t="0" r="0" b="0"/>
            <wp:wrapTopAndBottom/>
            <wp:docPr id="9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465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40"/>
        <w:ind w:hanging="0" w:start="0"/>
        <w:rPr>
          <w:rFonts w:ascii="Arial" w:hAnsi="Arial"/>
          <w:b/>
          <w:color w:val="334155"/>
          <w:sz w:val="22"/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t>Tela de Relatório (Produtos com Estoque Baixo)</w:t>
      </w:r>
    </w:p>
    <w:p>
      <w:pPr>
        <w:pStyle w:val="Normal"/>
        <w:spacing w:before="0" w:after="40"/>
        <w:ind w:hanging="0" w:start="0"/>
        <w:rPr>
          <w:rFonts w:ascii="Arial" w:hAnsi="Arial"/>
          <w:b/>
          <w:color w:val="334155"/>
          <w:sz w:val="22"/>
          <w:lang w:val="pt-BR" w:eastAsia="en-US" w:bidi="ar-SA"/>
        </w:rPr>
      </w:pPr>
      <w:r>
        <w:rPr>
          <w:rFonts w:ascii="Arial" w:hAnsi="Arial"/>
          <w:b/>
          <w:color w:val="334155"/>
          <w:sz w:val="22"/>
          <w:lang w:val="pt-BR" w:eastAsia="en-US" w:bidi="ar-SA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0785" cy="3112135"/>
            <wp:effectExtent l="0" t="0" r="0" b="0"/>
            <wp:wrapTopAndBottom/>
            <wp:docPr id="10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311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LibreOffice/25.8.7.3$Windows_X86_64 LibreOffice_project/30742500f2d3eb4366ac312fa33d3dcabdb3eba5</Application>
  <AppVersion>15.0000</AppVersion>
  <Pages>8</Pages>
  <Words>909</Words>
  <Characters>5411</Characters>
  <CharactersWithSpaces>6235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2026-06-23T23:14:13Z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