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74772" w14:textId="137F8B7C"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br w:type="page"/>
      </w:r>
    </w:p>
    <w:p w14:paraId="1F16D443" w14:textId="49D9DB5E"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lastRenderedPageBreak/>
        <w:br w:type="page"/>
      </w:r>
    </w:p>
    <w:p w14:paraId="45C1747F" w14:textId="56D114A5" w:rsidR="004772B8" w:rsidRPr="001D256D" w:rsidRDefault="004772B8" w:rsidP="00855F70">
      <w:pPr>
        <w:spacing w:after="0" w:line="480" w:lineRule="auto"/>
        <w:jc w:val="both"/>
        <w:rPr>
          <w:rFonts w:ascii="Times New Roman" w:hAnsi="Times New Roman" w:cs="Times New Roman"/>
          <w:b/>
          <w:bCs/>
          <w:lang w:val="en-US"/>
        </w:rPr>
      </w:pPr>
      <w:r w:rsidRPr="001D256D">
        <w:rPr>
          <w:rFonts w:ascii="Times New Roman" w:hAnsi="Times New Roman" w:cs="Times New Roman"/>
          <w:b/>
          <w:bCs/>
          <w:lang w:val="en-US"/>
        </w:rPr>
        <w:lastRenderedPageBreak/>
        <w:t xml:space="preserve">2. </w:t>
      </w:r>
      <w:r w:rsidR="001D256D" w:rsidRPr="001D256D">
        <w:rPr>
          <w:rFonts w:ascii="Times New Roman" w:hAnsi="Times New Roman" w:cs="Times New Roman"/>
          <w:b/>
          <w:bCs/>
          <w:lang w:val="en-US"/>
        </w:rPr>
        <w:t>Materials and methods</w:t>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72DEA6DA"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 xml:space="preserve">This retrospective translational study analyzed transcriptomic and clinical data from patients with relapsed or refractory (r/r) diffuse large B-cell lymphoma (DLBCL) treated with the </w:t>
      </w:r>
      <w:proofErr w:type="spellStart"/>
      <w:r w:rsidRPr="00F8678C">
        <w:rPr>
          <w:rFonts w:ascii="Times New Roman" w:hAnsi="Times New Roman" w:cs="Times New Roman"/>
          <w:lang w:val="en-US"/>
        </w:rPr>
        <w:t>axicabtagene</w:t>
      </w:r>
      <w:proofErr w:type="spellEnd"/>
      <w:r w:rsidRPr="00F8678C">
        <w:rPr>
          <w:rFonts w:ascii="Times New Roman" w:hAnsi="Times New Roman" w:cs="Times New Roman"/>
          <w:lang w:val="en-US"/>
        </w:rPr>
        <w:t xml:space="preserve"> </w:t>
      </w:r>
      <w:proofErr w:type="spellStart"/>
      <w:r w:rsidRPr="00F8678C">
        <w:rPr>
          <w:rFonts w:ascii="Times New Roman" w:hAnsi="Times New Roman" w:cs="Times New Roman"/>
          <w:lang w:val="en-US"/>
        </w:rPr>
        <w:t>ciloleucel</w:t>
      </w:r>
      <w:proofErr w:type="spellEnd"/>
      <w:r w:rsidRPr="00F8678C">
        <w:rPr>
          <w:rFonts w:ascii="Times New Roman" w:hAnsi="Times New Roman" w:cs="Times New Roman"/>
          <w:lang w:val="en-US"/>
        </w:rPr>
        <w:t xml:space="preserve"> (Axi-cel) anti-CD19 CAR T-cell therapy. Data were derived from the pivotal ZUMA-1 (NCT02348216; third-line setting) and ZUMA-7 (NCT03391466; second-line setting) clinical trials. The TCGA-DLBC cohort (N = 47; CAR-T </w:t>
      </w:r>
      <w:proofErr w:type="gramStart"/>
      <w:r w:rsidRPr="00F8678C">
        <w:rPr>
          <w:rFonts w:ascii="Times New Roman" w:hAnsi="Times New Roman" w:cs="Times New Roman"/>
          <w:lang w:val="en-US"/>
        </w:rPr>
        <w:t>naïve</w:t>
      </w:r>
      <w:proofErr w:type="gramEnd"/>
      <w:r w:rsidRPr="00F8678C">
        <w:rPr>
          <w:rFonts w:ascii="Times New Roman" w:hAnsi="Times New Roman" w:cs="Times New Roman"/>
          <w:lang w:val="en-US"/>
        </w:rPr>
        <w:t>)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2A6514AC"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lastRenderedPageBreak/>
        <w:t>Preprocessed gene expression matrices derived from custom microarray platforms were retrieved from the Gene Expression Omnibus (GEO) repository under accession numbers GSE197977 (ZUMA-1 cohort; 74 samples, 724 genes) and GSE248835 (ZUMA-7 cohort; 256 samples, 817 transcripts and functional signatures). To establish the reference control cohort, RNA sequencing data (RNA-seq, quantified as Transcripts Per Million [TPM]) for the TCGA-DLBC cohort were systematically obtained from the Genomic Data Commons (GDC) portal.</w:t>
      </w:r>
    </w:p>
    <w:p w14:paraId="59AAEBE3" w14:textId="63D2F9E7"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To enable analytical integration across distinct transcriptomic technologies,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9D0C76C" w:rsidR="00090C4A"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 xml:space="preserve">The architecture of the tumor microenvironment (TME) was deconvoluted using the Microenvironment Cell Populations-counter algorithm (MCP-counter; </w:t>
      </w:r>
      <w:proofErr w:type="spellStart"/>
      <w:r w:rsidRPr="005E7F5A">
        <w:rPr>
          <w:rFonts w:ascii="Times New Roman" w:hAnsi="Times New Roman" w:cs="Times New Roman"/>
          <w:lang w:val="en-US"/>
        </w:rPr>
        <w:t>MCPcounter</w:t>
      </w:r>
      <w:proofErr w:type="spellEnd"/>
      <w:r w:rsidRPr="005E7F5A">
        <w:rPr>
          <w:rFonts w:ascii="Times New Roman" w:hAnsi="Times New Roman" w:cs="Times New Roman"/>
          <w:lang w:val="en-US"/>
        </w:rPr>
        <w:t xml:space="preserve"> R package v1.2.0),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lastRenderedPageBreak/>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437389B2"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w:t>
      </w:r>
      <w:proofErr w:type="gramStart"/>
      <w:r w:rsidRPr="00FA1309">
        <w:rPr>
          <w:rFonts w:ascii="Times New Roman" w:hAnsi="Times New Roman" w:cs="Times New Roman"/>
          <w:lang w:val="en-US"/>
        </w:rPr>
        <w:t>text{</w:t>
      </w:r>
      <w:proofErr w:type="gramEnd"/>
      <w:r w:rsidRPr="00FA1309">
        <w:rPr>
          <w:rFonts w:ascii="Times New Roman" w:hAnsi="Times New Roman" w:cs="Times New Roman"/>
          <w:lang w:val="en-US"/>
        </w:rPr>
        <w:t>Log}_2$-transformed counts were scaled into Z-scores and subjected to unsupervised hierarchical clustering (Euclidean distance and Ward's linkage method; stats R package v4.2.2), followed by visualization using multidimensional heatmaps (</w:t>
      </w:r>
      <w:proofErr w:type="spellStart"/>
      <w:r w:rsidRPr="00FA1309">
        <w:rPr>
          <w:rFonts w:ascii="Times New Roman" w:hAnsi="Times New Roman" w:cs="Times New Roman"/>
          <w:lang w:val="en-US"/>
        </w:rPr>
        <w:t>ComplexHeatmap</w:t>
      </w:r>
      <w:proofErr w:type="spellEnd"/>
      <w:r w:rsidRPr="00FA1309">
        <w:rPr>
          <w:rFonts w:ascii="Times New Roman" w:hAnsi="Times New Roman" w:cs="Times New Roman"/>
          <w:lang w:val="en-US"/>
        </w:rPr>
        <w:t xml:space="preserve"> v2.14.0). Finally, direct </w:t>
      </w:r>
      <w:proofErr w:type="spellStart"/>
      <w:r w:rsidRPr="00FA1309">
        <w:rPr>
          <w:rFonts w:ascii="Times New Roman" w:hAnsi="Times New Roman" w:cs="Times New Roman"/>
          <w:lang w:val="en-US"/>
        </w:rPr>
        <w:t>clinico</w:t>
      </w:r>
      <w:proofErr w:type="spellEnd"/>
      <w:r w:rsidRPr="00FA1309">
        <w:rPr>
          <w:rFonts w:ascii="Times New Roman" w:hAnsi="Times New Roman" w:cs="Times New Roman"/>
          <w:lang w:val="en-US"/>
        </w:rPr>
        <w:t>-genomic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5F6EDE80"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map the global transcriptomic perturbations underlying primary resistance to Axi-cel, baseline differential expression analysis (DEA) was conducted using the </w:t>
      </w:r>
      <w:proofErr w:type="spellStart"/>
      <w:r w:rsidRPr="00FA1309">
        <w:rPr>
          <w:rFonts w:ascii="Times New Roman" w:hAnsi="Times New Roman" w:cs="Times New Roman"/>
          <w:lang w:val="en-US"/>
        </w:rPr>
        <w:t>limma</w:t>
      </w:r>
      <w:proofErr w:type="spellEnd"/>
      <w:r w:rsidRPr="00FA1309">
        <w:rPr>
          <w:rFonts w:ascii="Times New Roman" w:hAnsi="Times New Roman" w:cs="Times New Roman"/>
          <w:lang w:val="en-US"/>
        </w:rPr>
        <w:t xml:space="preserve"> R package (v3.54.2),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&gt; 0.5) for the initial prospection of signatures. Aiming to translate isolated transcripts into functional programs and capture biological heterogeneity at the individual patient level, Single-Sample Gene Set Enrichment Analysis (</w:t>
      </w:r>
      <w:proofErr w:type="spellStart"/>
      <w:r w:rsidRPr="00FA1309">
        <w:rPr>
          <w:rFonts w:ascii="Times New Roman" w:hAnsi="Times New Roman" w:cs="Times New Roman"/>
          <w:lang w:val="en-US"/>
        </w:rPr>
        <w:t>ssGSEA</w:t>
      </w:r>
      <w:proofErr w:type="spellEnd"/>
      <w:r w:rsidRPr="00FA1309">
        <w:rPr>
          <w:rFonts w:ascii="Times New Roman" w:hAnsi="Times New Roman" w:cs="Times New Roman"/>
          <w:lang w:val="en-US"/>
        </w:rPr>
        <w:t xml:space="preserve">; GSVA v1.46.0) was employed. This approach quantified the activation intensity (Mean Normalized Enrichment Score, Mean NES) of eight ontological </w:t>
      </w:r>
      <w:proofErr w:type="spellStart"/>
      <w:r w:rsidRPr="00FA1309">
        <w:rPr>
          <w:rFonts w:ascii="Times New Roman" w:hAnsi="Times New Roman" w:cs="Times New Roman"/>
          <w:lang w:val="en-US"/>
        </w:rPr>
        <w:t>macrocategories</w:t>
      </w:r>
      <w:proofErr w:type="spellEnd"/>
      <w:r w:rsidRPr="00FA1309">
        <w:rPr>
          <w:rFonts w:ascii="Times New Roman" w:hAnsi="Times New Roman" w:cs="Times New Roman"/>
          <w:lang w:val="en-US"/>
        </w:rPr>
        <w:t xml:space="preserve"> from the </w:t>
      </w:r>
      <w:proofErr w:type="spellStart"/>
      <w:r w:rsidRPr="00FA1309">
        <w:rPr>
          <w:rFonts w:ascii="Times New Roman" w:hAnsi="Times New Roman" w:cs="Times New Roman"/>
          <w:lang w:val="en-US"/>
        </w:rPr>
        <w:t>MSigDB</w:t>
      </w:r>
      <w:proofErr w:type="spellEnd"/>
      <w:r w:rsidRPr="00FA1309">
        <w:rPr>
          <w:rFonts w:ascii="Times New Roman" w:hAnsi="Times New Roman" w:cs="Times New Roman"/>
          <w:lang w:val="en-US"/>
        </w:rPr>
        <w:t xml:space="preserve"> </w:t>
      </w:r>
      <w:r w:rsidRPr="00FA1309">
        <w:rPr>
          <w:rFonts w:ascii="Times New Roman" w:hAnsi="Times New Roman" w:cs="Times New Roman"/>
          <w:lang w:val="en-US"/>
        </w:rPr>
        <w:lastRenderedPageBreak/>
        <w:t>Hallmark collection. Complementarily, to identify the core mechanistic axes driving therapeutic failure at the population level, classical GSEA (</w:t>
      </w:r>
      <w:proofErr w:type="spellStart"/>
      <w:r w:rsidRPr="00FA1309">
        <w:rPr>
          <w:rFonts w:ascii="Times New Roman" w:hAnsi="Times New Roman" w:cs="Times New Roman"/>
          <w:lang w:val="en-US"/>
        </w:rPr>
        <w:t>fgsea</w:t>
      </w:r>
      <w:proofErr w:type="spellEnd"/>
      <w:r w:rsidRPr="00FA1309">
        <w:rPr>
          <w:rFonts w:ascii="Times New Roman" w:hAnsi="Times New Roman" w:cs="Times New Roman"/>
          <w:lang w:val="en-US"/>
        </w:rPr>
        <w:t xml:space="preserve"> v1.24.0) was performed based on the continuous statistical ranking derived from </w:t>
      </w:r>
      <w:proofErr w:type="spellStart"/>
      <w:r w:rsidRPr="00FA1309">
        <w:rPr>
          <w:rFonts w:ascii="Times New Roman" w:hAnsi="Times New Roman" w:cs="Times New Roman"/>
          <w:lang w:val="en-US"/>
        </w:rPr>
        <w:t>limma</w:t>
      </w:r>
      <w:proofErr w:type="spellEnd"/>
      <w:r w:rsidRPr="00FA1309">
        <w:rPr>
          <w:rFonts w:ascii="Times New Roman" w:hAnsi="Times New Roman" w:cs="Times New Roman"/>
          <w:lang w:val="en-US"/>
        </w:rPr>
        <w:t xml:space="preserve">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63EEBD6C"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determine the clinical impact of transcriptomic signatures on therapeutic efficacy, Event-Free Survival (EFS) within the ZUMA-7 cohort was modeled using Kaplan-Meier estimates and the log-rank test (survival R package v3.5-5, </w:t>
      </w:r>
      <w:proofErr w:type="spellStart"/>
      <w:r w:rsidRPr="00FA1309">
        <w:rPr>
          <w:rFonts w:ascii="Times New Roman" w:hAnsi="Times New Roman" w:cs="Times New Roman"/>
          <w:lang w:val="en-US"/>
        </w:rPr>
        <w:t>survminer</w:t>
      </w:r>
      <w:proofErr w:type="spellEnd"/>
      <w:r w:rsidRPr="00FA1309">
        <w:rPr>
          <w:rFonts w:ascii="Times New Roman" w:hAnsi="Times New Roman" w:cs="Times New Roman"/>
          <w:lang w:val="en-US"/>
        </w:rPr>
        <w:t xml:space="preserve"> v0.4.9). Patient stratification was strictly based on the intra-cohort median expression, ensuring a standardized analytical threshold and mitigating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optimization biases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correlation (stats v4.2.2).</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conclusively discriminate strict predictive value (specific to cellular immunotherapy) from mere general prognostic impact (inherent to baseline DLBCL aggressiveness), the therapeutic specificity of the biomarkers was assessed through </w:t>
      </w:r>
      <w:r w:rsidRPr="00FA1309">
        <w:rPr>
          <w:rFonts w:ascii="Times New Roman" w:hAnsi="Times New Roman" w:cs="Times New Roman"/>
          <w:lang w:val="en-US"/>
        </w:rPr>
        <w:lastRenderedPageBreak/>
        <w:t>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w:t>
      </w:r>
      <w:r w:rsidRPr="00FA1309">
        <w:rPr>
          <w:rFonts w:ascii="Times New Roman" w:hAnsi="Times New Roman" w:cs="Times New Roman"/>
          <w:lang w:val="en-US"/>
        </w:rPr>
        <w:lastRenderedPageBreak/>
        <w:t>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w:t>
      </w:r>
      <w:proofErr w:type="spellStart"/>
      <w:r w:rsidRPr="00FA1309">
        <w:rPr>
          <w:rFonts w:ascii="Times New Roman" w:hAnsi="Times New Roman" w:cs="Times New Roman"/>
          <w:lang w:val="en-US"/>
        </w:rPr>
        <w:t>ssGSEA</w:t>
      </w:r>
      <w:proofErr w:type="spellEnd"/>
      <w:r w:rsidRPr="00FA1309">
        <w:rPr>
          <w:rFonts w:ascii="Times New Roman" w:hAnsi="Times New Roman" w:cs="Times New Roman"/>
          <w:lang w:val="en-US"/>
        </w:rPr>
        <w:t>);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 xml:space="preserve">was compiled and illustrated using the </w:t>
      </w:r>
      <w:proofErr w:type="spellStart"/>
      <w:r w:rsidRPr="00FA1309">
        <w:rPr>
          <w:rFonts w:ascii="Times New Roman" w:hAnsi="Times New Roman" w:cs="Times New Roman"/>
          <w:lang w:val="en-US"/>
        </w:rPr>
        <w:t>BioRender</w:t>
      </w:r>
      <w:proofErr w:type="spellEnd"/>
      <w:r w:rsidRPr="00FA1309">
        <w:rPr>
          <w:rFonts w:ascii="Times New Roman" w:hAnsi="Times New Roman" w:cs="Times New Roman"/>
          <w:lang w:val="en-US"/>
        </w:rPr>
        <w:t xml:space="preserve"> platform (</w:t>
      </w:r>
      <w:hyperlink r:id="rId5"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2B9CFC0"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All analytical processing and statistical modeling were executed within the R computational environment (version 4.2.2; R Foundation for Statistical Computing, Vienna, Austria). The distribution of continuous variables between independent groups was evaluated using the non-parametric Mann-Whitney U test, whereas the Wilcoxon signed-rank test was applied for intra-patient paired longitudinal measurements. Bivariate </w:t>
      </w:r>
      <w:r w:rsidRPr="00F2735D">
        <w:rPr>
          <w:rFonts w:ascii="Times New Roman" w:hAnsi="Times New Roman" w:cs="Times New Roman"/>
          <w:lang w:val="en-US"/>
        </w:rPr>
        <w:lastRenderedPageBreak/>
        <w:t>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w:t>
      </w:r>
      <w:proofErr w:type="gramStart"/>
      <w:r w:rsidRPr="00F2735D">
        <w:rPr>
          <w:rFonts w:ascii="Times New Roman" w:hAnsi="Times New Roman" w:cs="Times New Roman"/>
          <w:lang w:val="en-US"/>
        </w:rPr>
        <w:t>hazards</w:t>
      </w:r>
      <w:proofErr w:type="gramEnd"/>
      <w:r w:rsidRPr="00F2735D">
        <w:rPr>
          <w:rFonts w:ascii="Times New Roman" w:hAnsi="Times New Roman" w:cs="Times New Roman"/>
          <w:lang w:val="en-US"/>
        </w:rPr>
        <w:t xml:space="preserve"> assumption.</w:t>
      </w:r>
    </w:p>
    <w:p w14:paraId="08884D74" w14:textId="77777777"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 A two-tailed statistical significance threshold of p &lt; 0.05 was adopted a priori across all inferential analyses. The visualization of high-dimensional complex data was orchestrated primarily utilizing the ggplot2 (v3.4.2), ComplexHeatmap (v2.14.0), and survminer (v0.4.9) 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295038ED" w:rsidR="000F5417" w:rsidRPr="005C5ADE" w:rsidRDefault="00E27570" w:rsidP="005C5ADE">
      <w:pPr>
        <w:spacing w:after="0" w:line="480" w:lineRule="auto"/>
        <w:jc w:val="both"/>
        <w:rPr>
          <w:rFonts w:ascii="Times New Roman" w:hAnsi="Times New Roman" w:cs="Times New Roman"/>
        </w:rPr>
      </w:pPr>
      <w:r w:rsidRPr="00E27570">
        <w:rPr>
          <w:rFonts w:ascii="Times New Roman" w:hAnsi="Times New Roman" w:cs="Times New Roman"/>
          <w:b/>
          <w:bCs/>
        </w:rPr>
        <w:t xml:space="preserve">3. </w:t>
      </w:r>
      <w:r w:rsidR="000F5417" w:rsidRPr="00E27570">
        <w:rPr>
          <w:rFonts w:ascii="Times New Roman" w:hAnsi="Times New Roman" w:cs="Times New Roman"/>
          <w:b/>
          <w:bCs/>
        </w:rPr>
        <w:t>Resultados</w:t>
      </w:r>
    </w:p>
    <w:p w14:paraId="78155B70" w14:textId="77777777" w:rsidR="000F5417" w:rsidRDefault="000F5417" w:rsidP="000F5417">
      <w:pPr>
        <w:spacing w:after="0" w:line="480" w:lineRule="auto"/>
        <w:jc w:val="both"/>
        <w:rPr>
          <w:rFonts w:ascii="Times New Roman" w:hAnsi="Times New Roman" w:cs="Times New Roman"/>
        </w:rPr>
      </w:pPr>
    </w:p>
    <w:p w14:paraId="58B30E31" w14:textId="5EBF67D7" w:rsidR="00E27570" w:rsidRPr="00E27570" w:rsidRDefault="00E27570" w:rsidP="000F5417">
      <w:pPr>
        <w:spacing w:after="0" w:line="480" w:lineRule="auto"/>
        <w:jc w:val="both"/>
        <w:rPr>
          <w:rFonts w:ascii="Times New Roman" w:hAnsi="Times New Roman" w:cs="Times New Roman"/>
          <w:b/>
          <w:bCs/>
        </w:rPr>
      </w:pPr>
      <w:r w:rsidRPr="00E27570">
        <w:rPr>
          <w:rFonts w:ascii="Times New Roman" w:hAnsi="Times New Roman" w:cs="Times New Roman"/>
          <w:b/>
          <w:bCs/>
        </w:rPr>
        <w:t xml:space="preserve">3.1 A Integridade da Linhagem B, e não Apenas a Expressão Isolada de CD19, Condiciona a Resposta ao </w:t>
      </w:r>
      <w:proofErr w:type="spellStart"/>
      <w:r w:rsidRPr="00E27570">
        <w:rPr>
          <w:rFonts w:ascii="Times New Roman" w:hAnsi="Times New Roman" w:cs="Times New Roman"/>
          <w:b/>
          <w:bCs/>
        </w:rPr>
        <w:t>Axi-cel</w:t>
      </w:r>
      <w:proofErr w:type="spellEnd"/>
    </w:p>
    <w:p w14:paraId="73F42BB1" w14:textId="77777777" w:rsidR="00E27570" w:rsidRDefault="00E27570" w:rsidP="000F5417">
      <w:pPr>
        <w:spacing w:after="0" w:line="480" w:lineRule="auto"/>
        <w:jc w:val="both"/>
        <w:rPr>
          <w:rFonts w:ascii="Times New Roman" w:hAnsi="Times New Roman" w:cs="Times New Roman"/>
        </w:rPr>
      </w:pPr>
    </w:p>
    <w:p w14:paraId="7DF38FF9" w14:textId="17B23F03" w:rsidR="00E27570" w:rsidRDefault="00E27570" w:rsidP="00697A56">
      <w:pPr>
        <w:spacing w:after="0" w:line="480" w:lineRule="auto"/>
        <w:ind w:firstLine="709"/>
        <w:jc w:val="both"/>
        <w:rPr>
          <w:rFonts w:ascii="Times New Roman" w:hAnsi="Times New Roman" w:cs="Times New Roman"/>
        </w:rPr>
      </w:pPr>
      <w:r w:rsidRPr="00E27570">
        <w:rPr>
          <w:rFonts w:ascii="Times New Roman" w:hAnsi="Times New Roman" w:cs="Times New Roman"/>
        </w:rPr>
        <w:t xml:space="preserve">A avaliação do alvo terapêutico na clínica é frequentemente resumida à presença isolada do gene CD19. No entanto, nossos dados revelam que a elevada expressão de CD19 por si só não assegura a eficácia do </w:t>
      </w:r>
      <w:proofErr w:type="spellStart"/>
      <w:r w:rsidRPr="00E27570">
        <w:rPr>
          <w:rFonts w:ascii="Times New Roman" w:hAnsi="Times New Roman" w:cs="Times New Roman"/>
        </w:rPr>
        <w:t>Axi-cel</w:t>
      </w:r>
      <w:proofErr w:type="spellEnd"/>
      <w:r w:rsidRPr="00E27570">
        <w:rPr>
          <w:rFonts w:ascii="Times New Roman" w:hAnsi="Times New Roman" w:cs="Times New Roman"/>
        </w:rPr>
        <w:t>, sendo fundamental avaliar a integridade fenotípica global da linhagem de células B.</w:t>
      </w:r>
      <w:r>
        <w:rPr>
          <w:rFonts w:ascii="Times New Roman" w:hAnsi="Times New Roman" w:cs="Times New Roman"/>
        </w:rPr>
        <w:t xml:space="preserve"> </w:t>
      </w:r>
      <w:r w:rsidRPr="00E27570">
        <w:rPr>
          <w:rFonts w:ascii="Times New Roman" w:hAnsi="Times New Roman" w:cs="Times New Roman"/>
        </w:rPr>
        <w:t xml:space="preserve">Na coorte </w:t>
      </w:r>
      <w:proofErr w:type="spellStart"/>
      <w:r w:rsidRPr="00E27570">
        <w:rPr>
          <w:rFonts w:ascii="Times New Roman" w:hAnsi="Times New Roman" w:cs="Times New Roman"/>
        </w:rPr>
        <w:t>Axi-cel</w:t>
      </w:r>
      <w:proofErr w:type="spellEnd"/>
      <w:r w:rsidRPr="00E27570">
        <w:rPr>
          <w:rFonts w:ascii="Times New Roman" w:hAnsi="Times New Roman" w:cs="Times New Roman"/>
        </w:rPr>
        <w:t xml:space="preserve"> do estudo ZUMA-7, pacientes que alcançaram resposta clínica sustentada apresentaram uma </w:t>
      </w:r>
      <w:r w:rsidRPr="00E27570">
        <w:rPr>
          <w:rFonts w:ascii="Times New Roman" w:hAnsi="Times New Roman" w:cs="Times New Roman"/>
        </w:rPr>
        <w:lastRenderedPageBreak/>
        <w:t>tendência consistente de maior expressão basal de todo o painel de marcadores de linhagem B (CD19, MS4A1/CD20, TNFRSF17) em comparação àqueles que falharam (Figura 1A). Esse perfil indica que a sensibilidade ao CAR-T depende da preservação do programa transcricional B como um todo no tumor, e não apenas da abundância pontual de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41D86201" w:rsidR="00CD7B52" w:rsidRPr="00CD7B52" w:rsidRDefault="00CD7B52" w:rsidP="00CD7B52">
      <w:pPr>
        <w:spacing w:after="0" w:line="240" w:lineRule="auto"/>
        <w:jc w:val="both"/>
        <w:rPr>
          <w:rFonts w:ascii="Times New Roman" w:hAnsi="Times New Roman" w:cs="Times New Roman"/>
          <w:sz w:val="20"/>
          <w:szCs w:val="20"/>
          <w:lang w:val="en-US"/>
        </w:rPr>
      </w:pPr>
      <w:r w:rsidRPr="00311D8C">
        <w:rPr>
          <w:rFonts w:ascii="Times New Roman" w:hAnsi="Times New Roman" w:cs="Times New Roman"/>
          <w:b/>
          <w:bCs/>
          <w:sz w:val="20"/>
          <w:szCs w:val="20"/>
          <w:lang w:val="en-US"/>
        </w:rPr>
        <w:t>Figure 1. Baseline availability and longitudinal assessment of canonical B-cell lineage markers demonstrate the efficacy of Axi-cel.</w:t>
      </w:r>
      <w:r w:rsidRPr="00CD7B52">
        <w:rPr>
          <w:rFonts w:ascii="Times New Roman" w:hAnsi="Times New Roman" w:cs="Times New Roman"/>
          <w:sz w:val="20"/>
          <w:szCs w:val="20"/>
          <w:lang w:val="en-US"/>
        </w:rPr>
        <w:t xml:space="preserve"> </w:t>
      </w:r>
      <w:r w:rsidRPr="00843702">
        <w:rPr>
          <w:rFonts w:ascii="Times New Roman" w:hAnsi="Times New Roman" w:cs="Times New Roman"/>
          <w:b/>
          <w:bCs/>
          <w:sz w:val="20"/>
          <w:szCs w:val="20"/>
          <w:lang w:val="en-US"/>
        </w:rPr>
        <w:t>(A)</w:t>
      </w:r>
      <w:r w:rsidRPr="00CD7B52">
        <w:rPr>
          <w:rFonts w:ascii="Times New Roman" w:hAnsi="Times New Roman" w:cs="Times New Roman"/>
          <w:sz w:val="20"/>
          <w:szCs w:val="20"/>
          <w:lang w:val="en-US"/>
        </w:rPr>
        <w:t xml:space="preserve"> Pre-infusion (baseline) mRNA expression levels (Log</w:t>
      </w:r>
      <w:r w:rsidRPr="00843702">
        <w:rPr>
          <w:rFonts w:ascii="Times New Roman" w:hAnsi="Times New Roman" w:cs="Times New Roman"/>
          <w:sz w:val="20"/>
          <w:szCs w:val="20"/>
          <w:vertAlign w:val="subscript"/>
          <w:lang w:val="en-US"/>
        </w:rPr>
        <w:t>2</w:t>
      </w:r>
      <w:r w:rsidRPr="00CD7B52">
        <w:rPr>
          <w:rFonts w:ascii="Times New Roman" w:hAnsi="Times New Roman" w:cs="Times New Roman"/>
          <w:sz w:val="20"/>
          <w:szCs w:val="20"/>
          <w:lang w:val="en-US"/>
        </w:rPr>
        <w:t>) of canonical B-cell lineage markers (CD19, MS4A1/CD20, and TNFRSF17)</w:t>
      </w:r>
      <w:r w:rsidR="00311D8C">
        <w:rPr>
          <w:rFonts w:ascii="Times New Roman" w:hAnsi="Times New Roman" w:cs="Times New Roman"/>
          <w:sz w:val="20"/>
          <w:szCs w:val="20"/>
          <w:lang w:val="en-US"/>
        </w:rPr>
        <w:t xml:space="preserve"> - </w:t>
      </w:r>
      <w:r w:rsidRPr="00CD7B52">
        <w:rPr>
          <w:rFonts w:ascii="Times New Roman" w:hAnsi="Times New Roman" w:cs="Times New Roman"/>
          <w:sz w:val="20"/>
          <w:szCs w:val="20"/>
          <w:lang w:val="en-US"/>
        </w:rPr>
        <w:t>corresponding to the panel established in the pivotal ZUMA-7 study (Locke et al., 2024)</w:t>
      </w:r>
      <w:r w:rsidR="00311D8C">
        <w:rPr>
          <w:rFonts w:ascii="Times New Roman" w:hAnsi="Times New Roman" w:cs="Times New Roman"/>
          <w:sz w:val="20"/>
          <w:szCs w:val="20"/>
          <w:lang w:val="en-US"/>
        </w:rPr>
        <w:t xml:space="preserve"> - </w:t>
      </w:r>
      <w:r w:rsidRPr="00CD7B52">
        <w:rPr>
          <w:rFonts w:ascii="Times New Roman" w:hAnsi="Times New Roman" w:cs="Times New Roman"/>
          <w:sz w:val="20"/>
          <w:szCs w:val="20"/>
          <w:lang w:val="en-US"/>
        </w:rPr>
        <w:t xml:space="preserve">assessed in the Axi-cel-treated cohort. Patients are stratified by durable clinical </w:t>
      </w:r>
      <w:proofErr w:type="gramStart"/>
      <w:r w:rsidRPr="00CD7B52">
        <w:rPr>
          <w:rFonts w:ascii="Times New Roman" w:hAnsi="Times New Roman" w:cs="Times New Roman"/>
          <w:sz w:val="20"/>
          <w:szCs w:val="20"/>
          <w:lang w:val="en-US"/>
        </w:rPr>
        <w:t>outcome</w:t>
      </w:r>
      <w:proofErr w:type="gramEnd"/>
      <w:r w:rsidRPr="00CD7B52">
        <w:rPr>
          <w:rFonts w:ascii="Times New Roman" w:hAnsi="Times New Roman" w:cs="Times New Roman"/>
          <w:sz w:val="20"/>
          <w:szCs w:val="20"/>
          <w:lang w:val="en-US"/>
        </w:rPr>
        <w:t xml:space="preserve"> (sustained response versus failure). </w:t>
      </w:r>
      <w:r w:rsidRPr="005C5ADE">
        <w:rPr>
          <w:rFonts w:ascii="Times New Roman" w:hAnsi="Times New Roman" w:cs="Times New Roman"/>
          <w:b/>
          <w:bCs/>
          <w:sz w:val="20"/>
          <w:szCs w:val="20"/>
          <w:lang w:val="en-US"/>
        </w:rPr>
        <w:t>(B)</w:t>
      </w:r>
      <w:r w:rsidRPr="00CD7B52">
        <w:rPr>
          <w:rFonts w:ascii="Times New Roman" w:hAnsi="Times New Roman" w:cs="Times New Roman"/>
          <w:sz w:val="20"/>
          <w:szCs w:val="20"/>
          <w:lang w:val="en-US"/>
        </w:rPr>
        <w:t xml:space="preserve"> Baseline expression of the same pivotal gene panel from the ZUMA-7 study in the standard-of-care (SOC) control arm. </w:t>
      </w:r>
      <w:r w:rsidRPr="005C5ADE">
        <w:rPr>
          <w:rFonts w:ascii="Times New Roman" w:hAnsi="Times New Roman" w:cs="Times New Roman"/>
          <w:b/>
          <w:bCs/>
          <w:sz w:val="20"/>
          <w:szCs w:val="20"/>
          <w:lang w:val="en-US"/>
        </w:rPr>
        <w:t>(C)</w:t>
      </w:r>
      <w:r w:rsidRPr="00CD7B52">
        <w:rPr>
          <w:rFonts w:ascii="Times New Roman" w:hAnsi="Times New Roman" w:cs="Times New Roman"/>
          <w:sz w:val="20"/>
          <w:szCs w:val="20"/>
          <w:lang w:val="en-US"/>
        </w:rPr>
        <w:t xml:space="preserve"> Baseline expression of B-cell-specific markers (CD19, MS4A1, CD79A, CD79B) defined in the pivotal ZUMA-1 study (Scholler et al., 2022), assessed in the ZUMA-1 cohort and stratified by clinical </w:t>
      </w:r>
      <w:r w:rsidRPr="00CD7B52">
        <w:rPr>
          <w:rFonts w:ascii="Times New Roman" w:hAnsi="Times New Roman" w:cs="Times New Roman"/>
          <w:sz w:val="20"/>
          <w:szCs w:val="20"/>
          <w:lang w:val="en-US"/>
        </w:rPr>
        <w:lastRenderedPageBreak/>
        <w:t xml:space="preserve">response (CR versus Non-CR). </w:t>
      </w:r>
      <w:r w:rsidRPr="005C5ADE">
        <w:rPr>
          <w:rFonts w:ascii="Times New Roman" w:hAnsi="Times New Roman" w:cs="Times New Roman"/>
          <w:b/>
          <w:bCs/>
          <w:sz w:val="20"/>
          <w:szCs w:val="20"/>
          <w:lang w:val="en-US"/>
        </w:rPr>
        <w:t>(D)</w:t>
      </w:r>
      <w:r w:rsidRPr="00CD7B52">
        <w:rPr>
          <w:rFonts w:ascii="Times New Roman" w:hAnsi="Times New Roman" w:cs="Times New Roman"/>
          <w:sz w:val="20"/>
          <w:szCs w:val="20"/>
          <w:lang w:val="en-US"/>
        </w:rPr>
        <w:t xml:space="preserve"> Paired longitudinal analysis comparing target gene expression between baseline (pre-infusion) and post-CAR-T biopsies in patients from the ZUMA-1 study. Comparisons were performed using the Wilcoxon rank-sum test </w:t>
      </w:r>
      <w:r w:rsidRPr="005C5ADE">
        <w:rPr>
          <w:rFonts w:ascii="Times New Roman" w:hAnsi="Times New Roman" w:cs="Times New Roman"/>
          <w:b/>
          <w:bCs/>
          <w:sz w:val="20"/>
          <w:szCs w:val="20"/>
          <w:lang w:val="en-US"/>
        </w:rPr>
        <w:t>(A</w:t>
      </w:r>
      <w:r w:rsidR="005C5ADE" w:rsidRPr="005C5ADE">
        <w:rPr>
          <w:rFonts w:ascii="Times New Roman" w:hAnsi="Times New Roman" w:cs="Times New Roman"/>
          <w:b/>
          <w:bCs/>
          <w:sz w:val="20"/>
          <w:szCs w:val="20"/>
          <w:lang w:val="en-US"/>
        </w:rPr>
        <w:t>-</w:t>
      </w:r>
      <w:r w:rsidRPr="005C5ADE">
        <w:rPr>
          <w:rFonts w:ascii="Times New Roman" w:hAnsi="Times New Roman" w:cs="Times New Roman"/>
          <w:b/>
          <w:bCs/>
          <w:sz w:val="20"/>
          <w:szCs w:val="20"/>
          <w:lang w:val="en-US"/>
        </w:rPr>
        <w:t>C)</w:t>
      </w:r>
      <w:r w:rsidRPr="00CD7B52">
        <w:rPr>
          <w:rFonts w:ascii="Times New Roman" w:hAnsi="Times New Roman" w:cs="Times New Roman"/>
          <w:sz w:val="20"/>
          <w:szCs w:val="20"/>
          <w:lang w:val="en-US"/>
        </w:rPr>
        <w:t xml:space="preserve"> and the Wilcoxon signed-rank test </w:t>
      </w:r>
      <w:r w:rsidRPr="005C5ADE">
        <w:rPr>
          <w:rFonts w:ascii="Times New Roman" w:hAnsi="Times New Roman" w:cs="Times New Roman"/>
          <w:b/>
          <w:bCs/>
          <w:sz w:val="20"/>
          <w:szCs w:val="20"/>
          <w:lang w:val="en-US"/>
        </w:rPr>
        <w:t>(D)</w:t>
      </w:r>
      <w:r w:rsidRPr="00CD7B52">
        <w:rPr>
          <w:rFonts w:ascii="Times New Roman" w:hAnsi="Times New Roman" w:cs="Times New Roman"/>
          <w:sz w:val="20"/>
          <w:szCs w:val="20"/>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CD7B52" w:rsidRDefault="00E27570" w:rsidP="000F5417">
      <w:pPr>
        <w:spacing w:after="0" w:line="480" w:lineRule="auto"/>
        <w:jc w:val="both"/>
        <w:rPr>
          <w:rFonts w:ascii="Times New Roman" w:hAnsi="Times New Roman" w:cs="Times New Roman"/>
          <w:lang w:val="en-US"/>
        </w:rPr>
      </w:pPr>
    </w:p>
    <w:p w14:paraId="1A7FAB76" w14:textId="3255FBDC" w:rsidR="00E27570" w:rsidRDefault="00E27570" w:rsidP="00697A56">
      <w:pPr>
        <w:spacing w:after="0" w:line="480" w:lineRule="auto"/>
        <w:ind w:firstLine="709"/>
        <w:jc w:val="both"/>
        <w:rPr>
          <w:rFonts w:ascii="Times New Roman" w:hAnsi="Times New Roman" w:cs="Times New Roman"/>
        </w:rPr>
      </w:pPr>
      <w:r w:rsidRPr="00E27570">
        <w:rPr>
          <w:rFonts w:ascii="Times New Roman" w:hAnsi="Times New Roman" w:cs="Times New Roman"/>
        </w:rPr>
        <w:t xml:space="preserve">Essa associação foi </w:t>
      </w:r>
      <w:proofErr w:type="spellStart"/>
      <w:r w:rsidRPr="00E27570">
        <w:rPr>
          <w:rFonts w:ascii="Times New Roman" w:hAnsi="Times New Roman" w:cs="Times New Roman"/>
        </w:rPr>
        <w:t>mecanisticamente</w:t>
      </w:r>
      <w:proofErr w:type="spellEnd"/>
      <w:r w:rsidRPr="00E27570">
        <w:rPr>
          <w:rFonts w:ascii="Times New Roman" w:hAnsi="Times New Roman" w:cs="Times New Roman"/>
        </w:rPr>
        <w:t xml:space="preserve"> específica para a terapia celular, não sendo observada qualquer diferença significativa nos marcadores de linhagem B no braço de quimioterapia padrão (SOC) do ZUMA-7 (Figura 1B) ou no baseline da coorte ZUMA-1 (Figura 1C).</w:t>
      </w:r>
      <w:r>
        <w:rPr>
          <w:rFonts w:ascii="Times New Roman" w:hAnsi="Times New Roman" w:cs="Times New Roman"/>
        </w:rPr>
        <w:t xml:space="preserve"> </w:t>
      </w:r>
      <w:r w:rsidRPr="00E27570">
        <w:rPr>
          <w:rFonts w:ascii="Times New Roman" w:hAnsi="Times New Roman" w:cs="Times New Roman"/>
        </w:rPr>
        <w:t xml:space="preserve">Por fim, a análise longitudinal emparelhada no ZUMA-1 confirmou o impacto farmacodinâmico </w:t>
      </w:r>
      <w:proofErr w:type="spellStart"/>
      <w:r w:rsidRPr="00E27570">
        <w:rPr>
          <w:rFonts w:ascii="Times New Roman" w:hAnsi="Times New Roman" w:cs="Times New Roman"/>
        </w:rPr>
        <w:t>on</w:t>
      </w:r>
      <w:proofErr w:type="spellEnd"/>
      <w:r w:rsidRPr="00E27570">
        <w:rPr>
          <w:rFonts w:ascii="Times New Roman" w:hAnsi="Times New Roman" w:cs="Times New Roman"/>
        </w:rPr>
        <w:t xml:space="preserve">-target do CAR-T, mostrando uma depleção profunda e estatisticamente significativa de todos os marcadores B após a infusão (Figura 1D). Essa eliminação transcricional foi validada pela </w:t>
      </w:r>
      <w:proofErr w:type="spellStart"/>
      <w:r w:rsidRPr="00E27570">
        <w:rPr>
          <w:rFonts w:ascii="Times New Roman" w:hAnsi="Times New Roman" w:cs="Times New Roman"/>
        </w:rPr>
        <w:t>deconvolução</w:t>
      </w:r>
      <w:proofErr w:type="spellEnd"/>
      <w:r w:rsidRPr="00E27570">
        <w:rPr>
          <w:rFonts w:ascii="Times New Roman" w:hAnsi="Times New Roman" w:cs="Times New Roman"/>
        </w:rPr>
        <w:t xml:space="preserve"> celular do microambiente tumoral (Figura Suplementar S1), confirmando a depuração do clone tumoral e a aplasia B esperada. Em conjunto, esses achados mostram que a identidade de linhagem B no baseline </w:t>
      </w:r>
      <w:r>
        <w:rPr>
          <w:rFonts w:ascii="Times New Roman" w:hAnsi="Times New Roman" w:cs="Times New Roman"/>
        </w:rPr>
        <w:t>pode ser</w:t>
      </w:r>
      <w:r w:rsidRPr="00E27570">
        <w:rPr>
          <w:rFonts w:ascii="Times New Roman" w:hAnsi="Times New Roman" w:cs="Times New Roman"/>
        </w:rPr>
        <w:t xml:space="preserve"> </w:t>
      </w:r>
      <w:r>
        <w:rPr>
          <w:rFonts w:ascii="Times New Roman" w:hAnsi="Times New Roman" w:cs="Times New Roman"/>
        </w:rPr>
        <w:t xml:space="preserve">um dos </w:t>
      </w:r>
      <w:r w:rsidRPr="00E27570">
        <w:rPr>
          <w:rFonts w:ascii="Times New Roman" w:hAnsi="Times New Roman" w:cs="Times New Roman"/>
        </w:rPr>
        <w:t xml:space="preserve">pré-requisito para o engajamento e o sucesso terapêutico do </w:t>
      </w:r>
      <w:proofErr w:type="spellStart"/>
      <w:r w:rsidRPr="00E27570">
        <w:rPr>
          <w:rFonts w:ascii="Times New Roman" w:hAnsi="Times New Roman" w:cs="Times New Roman"/>
        </w:rPr>
        <w:t>Axi</w:t>
      </w:r>
      <w:proofErr w:type="spellEnd"/>
      <w:r w:rsidRPr="00E27570">
        <w:rPr>
          <w:rFonts w:ascii="Times New Roman" w:hAnsi="Times New Roman" w:cs="Times New Roman"/>
        </w:rPr>
        <w:t>-cel.</w:t>
      </w:r>
    </w:p>
    <w:p w14:paraId="5AF8EEE7" w14:textId="77777777" w:rsidR="005C5ADE" w:rsidRDefault="005C5ADE" w:rsidP="000F5417">
      <w:pPr>
        <w:spacing w:after="0" w:line="480" w:lineRule="auto"/>
        <w:jc w:val="both"/>
        <w:rPr>
          <w:rFonts w:ascii="Times New Roman" w:hAnsi="Times New Roman" w:cs="Times New Roman"/>
        </w:rPr>
      </w:pPr>
    </w:p>
    <w:p w14:paraId="3657210F" w14:textId="44BCB1B9" w:rsidR="00697A56" w:rsidRPr="00697A56" w:rsidRDefault="00697A56" w:rsidP="000F5417">
      <w:pPr>
        <w:spacing w:after="0" w:line="480" w:lineRule="auto"/>
        <w:jc w:val="both"/>
        <w:rPr>
          <w:rFonts w:ascii="Times New Roman" w:hAnsi="Times New Roman" w:cs="Times New Roman"/>
          <w:b/>
          <w:bCs/>
        </w:rPr>
      </w:pPr>
      <w:r w:rsidRPr="00697A56">
        <w:rPr>
          <w:rFonts w:ascii="Times New Roman" w:hAnsi="Times New Roman" w:cs="Times New Roman"/>
          <w:b/>
          <w:bCs/>
        </w:rPr>
        <w:t xml:space="preserve">3.2 Exaustão de Células T e </w:t>
      </w:r>
      <w:proofErr w:type="gramStart"/>
      <w:r w:rsidRPr="00697A56">
        <w:rPr>
          <w:rFonts w:ascii="Times New Roman" w:hAnsi="Times New Roman" w:cs="Times New Roman"/>
          <w:b/>
          <w:bCs/>
        </w:rPr>
        <w:t>Regulação  da</w:t>
      </w:r>
      <w:proofErr w:type="gramEnd"/>
      <w:r w:rsidRPr="00697A56">
        <w:rPr>
          <w:rFonts w:ascii="Times New Roman" w:hAnsi="Times New Roman" w:cs="Times New Roman"/>
          <w:b/>
          <w:bCs/>
        </w:rPr>
        <w:t xml:space="preserve"> Maquinaria HLA Não São os Determinantes Primários da Resistência ao </w:t>
      </w:r>
      <w:proofErr w:type="spellStart"/>
      <w:r w:rsidRPr="00697A56">
        <w:rPr>
          <w:rFonts w:ascii="Times New Roman" w:hAnsi="Times New Roman" w:cs="Times New Roman"/>
          <w:b/>
          <w:bCs/>
        </w:rPr>
        <w:t>Axi</w:t>
      </w:r>
      <w:proofErr w:type="spellEnd"/>
      <w:r w:rsidRPr="00697A56">
        <w:rPr>
          <w:rFonts w:ascii="Times New Roman" w:hAnsi="Times New Roman" w:cs="Times New Roman"/>
          <w:b/>
          <w:bCs/>
        </w:rPr>
        <w:t>-cel.</w:t>
      </w:r>
    </w:p>
    <w:p w14:paraId="52E17AEA" w14:textId="77777777" w:rsidR="00697A56" w:rsidRDefault="00697A56" w:rsidP="000F5417">
      <w:pPr>
        <w:spacing w:after="0" w:line="480" w:lineRule="auto"/>
        <w:jc w:val="both"/>
        <w:rPr>
          <w:rFonts w:ascii="Times New Roman" w:hAnsi="Times New Roman" w:cs="Times New Roman"/>
        </w:rPr>
      </w:pPr>
    </w:p>
    <w:p w14:paraId="7AD39926" w14:textId="658B2381" w:rsidR="00697A56" w:rsidRDefault="00697A56" w:rsidP="00697A56">
      <w:pPr>
        <w:spacing w:after="0" w:line="480" w:lineRule="auto"/>
        <w:ind w:firstLine="709"/>
        <w:jc w:val="both"/>
        <w:rPr>
          <w:rFonts w:ascii="Times New Roman" w:hAnsi="Times New Roman" w:cs="Times New Roman"/>
        </w:rPr>
      </w:pPr>
      <w:r w:rsidRPr="00697A56">
        <w:rPr>
          <w:rFonts w:ascii="Times New Roman" w:hAnsi="Times New Roman" w:cs="Times New Roman"/>
        </w:rPr>
        <w:t xml:space="preserve">Na imunologia oncológica clássica, a evasão tumoral é frequentemente orquestrada pela indução de exaustão de células T no microambiente ou pela supressão da maquinaria de apresentação de antígenos (HLA). No entanto, o nosso mapeamento transcricional multidimensional revelou que estes eixos canónicos não ditam primariamente a falha terapêutica ao </w:t>
      </w:r>
      <w:proofErr w:type="spellStart"/>
      <w:r w:rsidRPr="00697A56">
        <w:rPr>
          <w:rFonts w:ascii="Times New Roman" w:hAnsi="Times New Roman" w:cs="Times New Roman"/>
        </w:rPr>
        <w:t>Axi</w:t>
      </w:r>
      <w:proofErr w:type="spellEnd"/>
      <w:r w:rsidRPr="00697A56">
        <w:rPr>
          <w:rFonts w:ascii="Times New Roman" w:hAnsi="Times New Roman" w:cs="Times New Roman"/>
        </w:rPr>
        <w:t>-cel.</w:t>
      </w:r>
      <w:r>
        <w:rPr>
          <w:rFonts w:ascii="Times New Roman" w:hAnsi="Times New Roman" w:cs="Times New Roman"/>
        </w:rPr>
        <w:t xml:space="preserve"> </w:t>
      </w:r>
      <w:r w:rsidRPr="00697A56">
        <w:rPr>
          <w:rFonts w:ascii="Times New Roman" w:hAnsi="Times New Roman" w:cs="Times New Roman"/>
        </w:rPr>
        <w:t xml:space="preserve">A análise do perfil de expressão das assinaturas de exaustão de células T (Figura 2) não revelou a formação de agrupamentos biológicos (clusters) latentes capazes de segregar pacientes com resposta sustentada </w:t>
      </w:r>
      <w:r w:rsidRPr="00697A56">
        <w:rPr>
          <w:rFonts w:ascii="Times New Roman" w:hAnsi="Times New Roman" w:cs="Times New Roman"/>
        </w:rPr>
        <w:lastRenderedPageBreak/>
        <w:t xml:space="preserve">daqueles que evoluíram com falha terapêutica. Este padrão de expressão difusa e não-discriminatória foi consistente ao longo das coortes de baseline do ZUMA-7 (braços </w:t>
      </w:r>
      <w:proofErr w:type="spellStart"/>
      <w:r w:rsidRPr="00697A56">
        <w:rPr>
          <w:rFonts w:ascii="Times New Roman" w:hAnsi="Times New Roman" w:cs="Times New Roman"/>
        </w:rPr>
        <w:t>Axi-cel</w:t>
      </w:r>
      <w:proofErr w:type="spellEnd"/>
      <w:r w:rsidRPr="00697A56">
        <w:rPr>
          <w:rFonts w:ascii="Times New Roman" w:hAnsi="Times New Roman" w:cs="Times New Roman"/>
        </w:rPr>
        <w:t xml:space="preserve"> e SOC) e do ZUMA-1. Adicionalmente, a avaliação temporal destas assinaturas (pós-infusão do CAR-T) no ZUMA-1 não evidenciou flutuações longitudinais consistentes que justificassem o escape imunológic</w:t>
      </w:r>
      <w:r>
        <w:rPr>
          <w:rFonts w:ascii="Times New Roman" w:hAnsi="Times New Roman" w:cs="Times New Roman"/>
        </w:rPr>
        <w:t>o</w:t>
      </w:r>
      <w:r w:rsidRPr="00697A56">
        <w:rPr>
          <w:rFonts w:ascii="Times New Roman" w:hAnsi="Times New Roman" w:cs="Times New Roman"/>
        </w:rPr>
        <w:t>.</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697A56" w:rsidRDefault="00697A56" w:rsidP="00697A56">
      <w:pPr>
        <w:spacing w:after="0" w:line="240" w:lineRule="auto"/>
        <w:jc w:val="both"/>
        <w:rPr>
          <w:rFonts w:ascii="Times New Roman" w:hAnsi="Times New Roman" w:cs="Times New Roman"/>
          <w:sz w:val="20"/>
          <w:szCs w:val="20"/>
          <w:lang w:val="en-US"/>
        </w:rPr>
      </w:pPr>
      <w:r w:rsidRPr="00697A56">
        <w:rPr>
          <w:rFonts w:ascii="Times New Roman" w:hAnsi="Times New Roman" w:cs="Times New Roman"/>
          <w:b/>
          <w:bCs/>
          <w:sz w:val="20"/>
          <w:szCs w:val="20"/>
          <w:lang w:val="en-US"/>
        </w:rPr>
        <w:t>Figure 2. Transcriptional profile of immune evasion mechanisms: T-cell exhaustion in the microenvironment and regulation of the antigen presentation machinery (HLA).</w:t>
      </w:r>
      <w:r w:rsidRPr="00697A56">
        <w:rPr>
          <w:rFonts w:ascii="Times New Roman" w:hAnsi="Times New Roman" w:cs="Times New Roman"/>
          <w:sz w:val="20"/>
          <w:szCs w:val="20"/>
          <w:lang w:val="en-US"/>
        </w:rPr>
        <w:t xml:space="preserve"> Normalized gene expression profiles (Z-score) mapping the immunosuppressive architecture in the ZUMA-7 and ZUMA-1 cohorts. The first four heatmaps show the expression of T-cell exhaustion genes. The baseline profile is </w:t>
      </w:r>
      <w:r w:rsidRPr="00697A56">
        <w:rPr>
          <w:rFonts w:ascii="Times New Roman" w:hAnsi="Times New Roman" w:cs="Times New Roman"/>
          <w:sz w:val="20"/>
          <w:szCs w:val="20"/>
          <w:lang w:val="en-US"/>
        </w:rPr>
        <w:lastRenderedPageBreak/>
        <w:t>stratified by clinical outcome (Sustained Response vs. Failure/CR vs. Non-CR) in the ZUMA-7 Axi-cel, ZUMA-7 Standard of Care (SOC), and ZUMA-1 (Baseline) cohorts, whereas the ZUMA-1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w:t>
      </w:r>
      <w:proofErr w:type="gramStart"/>
      <w:r w:rsidRPr="00697A56">
        <w:rPr>
          <w:rFonts w:ascii="Times New Roman" w:hAnsi="Times New Roman" w:cs="Times New Roman"/>
          <w:sz w:val="20"/>
          <w:szCs w:val="20"/>
          <w:lang w:val="en-US"/>
        </w:rPr>
        <w:t>free survival</w:t>
      </w:r>
      <w:proofErr w:type="gramEnd"/>
      <w:r w:rsidRPr="00697A56">
        <w:rPr>
          <w:rFonts w:ascii="Times New Roman" w:hAnsi="Times New Roman" w:cs="Times New Roman"/>
          <w:sz w:val="20"/>
          <w:szCs w:val="20"/>
          <w:lang w:val="en-US"/>
        </w:rPr>
        <w:t xml:space="preserve">) events. Expression divergence is mapped on a Z-score scale, where intense blue represents </w:t>
      </w:r>
      <w:proofErr w:type="spellStart"/>
      <w:r w:rsidRPr="00697A56">
        <w:rPr>
          <w:rFonts w:ascii="Times New Roman" w:hAnsi="Times New Roman" w:cs="Times New Roman"/>
          <w:sz w:val="20"/>
          <w:szCs w:val="20"/>
          <w:lang w:val="en-US"/>
        </w:rPr>
        <w:t>underexpression</w:t>
      </w:r>
      <w:proofErr w:type="spellEnd"/>
      <w:r w:rsidRPr="00697A56">
        <w:rPr>
          <w:rFonts w:ascii="Times New Roman" w:hAnsi="Times New Roman" w:cs="Times New Roman"/>
          <w:sz w:val="20"/>
          <w:szCs w:val="20"/>
          <w:lang w:val="en-US"/>
        </w:rPr>
        <w:t xml:space="preserve"> (-2) and dark red represents overexpression (+2) relative to the cohort mean.</w:t>
      </w:r>
    </w:p>
    <w:p w14:paraId="3959D76A" w14:textId="1B3DDD14" w:rsidR="00697A56" w:rsidRDefault="00697A56" w:rsidP="00697A56">
      <w:pPr>
        <w:spacing w:after="0" w:line="480" w:lineRule="auto"/>
        <w:jc w:val="both"/>
        <w:rPr>
          <w:rFonts w:ascii="Times New Roman" w:hAnsi="Times New Roman" w:cs="Times New Roman"/>
          <w:lang w:val="en-US"/>
        </w:rPr>
      </w:pPr>
    </w:p>
    <w:p w14:paraId="2A72987E" w14:textId="0E17C0AC" w:rsidR="00697A56" w:rsidRPr="00697A56" w:rsidRDefault="00697A56" w:rsidP="00697A56">
      <w:pPr>
        <w:spacing w:after="0" w:line="480" w:lineRule="auto"/>
        <w:ind w:firstLine="709"/>
        <w:jc w:val="both"/>
        <w:rPr>
          <w:rFonts w:ascii="Times New Roman" w:hAnsi="Times New Roman" w:cs="Times New Roman"/>
        </w:rPr>
      </w:pPr>
      <w:r w:rsidRPr="00697A56">
        <w:rPr>
          <w:rFonts w:ascii="Times New Roman" w:hAnsi="Times New Roman" w:cs="Times New Roman"/>
        </w:rPr>
        <w:t xml:space="preserve">De forma análoga, a avaliação funcional e estrutural da integridade do complexo HLA </w:t>
      </w:r>
      <w:r>
        <w:rPr>
          <w:rFonts w:ascii="Times New Roman" w:hAnsi="Times New Roman" w:cs="Times New Roman"/>
        </w:rPr>
        <w:t>-</w:t>
      </w:r>
      <w:r w:rsidRPr="00697A56">
        <w:rPr>
          <w:rFonts w:ascii="Times New Roman" w:hAnsi="Times New Roman" w:cs="Times New Roman"/>
        </w:rPr>
        <w:t xml:space="preserve"> estratificada analiticamente em moléculas clássicas de Classe I, maquinaria de processamento intracelular, moléculas de Classe II e moléculas inibitórias </w:t>
      </w:r>
      <w:proofErr w:type="spellStart"/>
      <w:r w:rsidRPr="00697A56">
        <w:rPr>
          <w:rFonts w:ascii="Times New Roman" w:hAnsi="Times New Roman" w:cs="Times New Roman"/>
        </w:rPr>
        <w:t>não-clássicas</w:t>
      </w:r>
      <w:proofErr w:type="spellEnd"/>
      <w:r w:rsidRPr="00697A56">
        <w:rPr>
          <w:rFonts w:ascii="Times New Roman" w:hAnsi="Times New Roman" w:cs="Times New Roman"/>
        </w:rPr>
        <w:t xml:space="preserve"> </w:t>
      </w:r>
      <w:r>
        <w:rPr>
          <w:rFonts w:ascii="Times New Roman" w:hAnsi="Times New Roman" w:cs="Times New Roman"/>
        </w:rPr>
        <w:t>-</w:t>
      </w:r>
      <w:r w:rsidRPr="00697A56">
        <w:rPr>
          <w:rFonts w:ascii="Times New Roman" w:hAnsi="Times New Roman" w:cs="Times New Roman"/>
        </w:rPr>
        <w:t xml:space="preserve"> demonstrou uma profunda heterogeneidade </w:t>
      </w:r>
      <w:proofErr w:type="spellStart"/>
      <w:r w:rsidRPr="00697A56">
        <w:rPr>
          <w:rFonts w:ascii="Times New Roman" w:hAnsi="Times New Roman" w:cs="Times New Roman"/>
        </w:rPr>
        <w:t>intra-coorte</w:t>
      </w:r>
      <w:proofErr w:type="spellEnd"/>
      <w:r w:rsidRPr="00697A56">
        <w:rPr>
          <w:rFonts w:ascii="Times New Roman" w:hAnsi="Times New Roman" w:cs="Times New Roman"/>
        </w:rPr>
        <w:t>. A clusterização hierárquica não supervisionada, mesmo quando integrada a covariáveis clínicas de forte peso, como a carga tumoral basal (SPD) e a célula de origem (COO), confirmou a ausência de um perfil de supressão do HLA unívoca ou majoritariamente associado à resistência ao CAR-T.</w:t>
      </w:r>
    </w:p>
    <w:p w14:paraId="13E681C8" w14:textId="0F3E8D22" w:rsidR="00697A56" w:rsidRDefault="00697A56" w:rsidP="00697A56">
      <w:pPr>
        <w:spacing w:after="0" w:line="480" w:lineRule="auto"/>
        <w:ind w:firstLine="709"/>
        <w:jc w:val="both"/>
        <w:rPr>
          <w:rFonts w:ascii="Times New Roman" w:hAnsi="Times New Roman" w:cs="Times New Roman"/>
        </w:rPr>
      </w:pPr>
      <w:r w:rsidRPr="00697A56">
        <w:rPr>
          <w:rFonts w:ascii="Times New Roman" w:hAnsi="Times New Roman" w:cs="Times New Roman"/>
        </w:rPr>
        <w:t>Em conjunto, estes dados contrariam os dogmas de evasão amplamente descritos para inibidores de checkpoint imunológico. Os nossos achados sugerem que, devido à natureza sintética do seu reconhecimento antigénico, a eficácia do CAR-T anti-CD19 opera com notável independência das vias tradicionais de restrição pelo HLA e do grau de exaustão imunológica pré-existente, apontando a necessidade de investigar mecanismos alternativos de resistência intrínseca tumoral.</w:t>
      </w:r>
    </w:p>
    <w:p w14:paraId="4F25B0CB" w14:textId="77777777" w:rsidR="00697A56" w:rsidRDefault="00697A56" w:rsidP="00697A56">
      <w:pPr>
        <w:spacing w:after="0" w:line="480" w:lineRule="auto"/>
        <w:jc w:val="both"/>
        <w:rPr>
          <w:rFonts w:ascii="Times New Roman" w:hAnsi="Times New Roman" w:cs="Times New Roman"/>
        </w:rPr>
      </w:pPr>
    </w:p>
    <w:p w14:paraId="34BA8988" w14:textId="77777777" w:rsidR="00697A56" w:rsidRDefault="00697A56" w:rsidP="00697A56">
      <w:pPr>
        <w:spacing w:after="0" w:line="480" w:lineRule="auto"/>
        <w:jc w:val="both"/>
        <w:rPr>
          <w:rFonts w:ascii="Times New Roman" w:hAnsi="Times New Roman" w:cs="Times New Roman"/>
        </w:rPr>
      </w:pPr>
    </w:p>
    <w:p w14:paraId="15F93909" w14:textId="77777777" w:rsidR="00697A56" w:rsidRDefault="00697A56" w:rsidP="00697A56">
      <w:pPr>
        <w:spacing w:after="0" w:line="480" w:lineRule="auto"/>
        <w:jc w:val="both"/>
        <w:rPr>
          <w:rFonts w:ascii="Times New Roman" w:hAnsi="Times New Roman" w:cs="Times New Roman"/>
        </w:rPr>
      </w:pPr>
    </w:p>
    <w:p w14:paraId="36674468" w14:textId="77777777" w:rsidR="00697A56" w:rsidRDefault="00697A56" w:rsidP="00697A56">
      <w:pPr>
        <w:spacing w:after="0" w:line="480" w:lineRule="auto"/>
        <w:jc w:val="both"/>
        <w:rPr>
          <w:rFonts w:ascii="Times New Roman" w:hAnsi="Times New Roman" w:cs="Times New Roman"/>
        </w:rPr>
      </w:pPr>
    </w:p>
    <w:p w14:paraId="5AFF9F99" w14:textId="52409D7C" w:rsidR="004772B8" w:rsidRDefault="006B2A9E" w:rsidP="00697A56">
      <w:pPr>
        <w:spacing w:after="0" w:line="480" w:lineRule="auto"/>
        <w:jc w:val="both"/>
        <w:rPr>
          <w:rFonts w:ascii="Times New Roman" w:hAnsi="Times New Roman" w:cs="Times New Roman"/>
        </w:rPr>
      </w:pPr>
      <w:r>
        <w:rPr>
          <w:rFonts w:ascii="Times New Roman" w:hAnsi="Times New Roman" w:cs="Times New Roman"/>
        </w:rPr>
        <w:t>Referências</w:t>
      </w:r>
    </w:p>
    <w:p w14:paraId="6ADB85DD" w14:textId="6999FAD2" w:rsidR="006B2A9E" w:rsidRDefault="006B2A9E" w:rsidP="00697A56">
      <w:pPr>
        <w:spacing w:after="0" w:line="480" w:lineRule="auto"/>
        <w:jc w:val="both"/>
        <w:rPr>
          <w:rFonts w:ascii="Times New Roman" w:hAnsi="Times New Roman" w:cs="Times New Roman"/>
        </w:rPr>
      </w:pPr>
      <w:r>
        <w:rPr>
          <w:rFonts w:ascii="Times New Roman" w:hAnsi="Times New Roman" w:cs="Times New Roman"/>
        </w:rPr>
        <w:br w:type="page"/>
      </w:r>
    </w:p>
    <w:p w14:paraId="533848EB" w14:textId="0E9E370F" w:rsidR="006B2A9E" w:rsidRDefault="004D41C2" w:rsidP="00855F70">
      <w:pPr>
        <w:spacing w:after="0" w:line="480" w:lineRule="auto"/>
        <w:jc w:val="both"/>
        <w:rPr>
          <w:rFonts w:ascii="Times New Roman" w:hAnsi="Times New Roman" w:cs="Times New Roman"/>
        </w:rPr>
      </w:pPr>
      <w:r>
        <w:rPr>
          <w:rFonts w:ascii="Times New Roman" w:hAnsi="Times New Roman" w:cs="Times New Roman"/>
        </w:rPr>
        <w:lastRenderedPageBreak/>
        <w:t>Figure Legends</w:t>
      </w:r>
    </w:p>
    <w:p w14:paraId="7633A894" w14:textId="77777777" w:rsidR="004D41C2" w:rsidRDefault="004D41C2" w:rsidP="00855F70">
      <w:pPr>
        <w:spacing w:after="0" w:line="480" w:lineRule="auto"/>
        <w:jc w:val="both"/>
        <w:rPr>
          <w:rFonts w:ascii="Times New Roman" w:hAnsi="Times New Roman" w:cs="Times New Roman"/>
        </w:rPr>
      </w:pPr>
    </w:p>
    <w:p w14:paraId="4C80CBA1" w14:textId="77777777" w:rsidR="004D41C2" w:rsidRPr="004772B8" w:rsidRDefault="004D41C2" w:rsidP="00855F70">
      <w:pPr>
        <w:spacing w:after="0" w:line="480" w:lineRule="auto"/>
        <w:jc w:val="both"/>
        <w:rPr>
          <w:rFonts w:ascii="Times New Roman" w:hAnsi="Times New Roman" w:cs="Times New Roman"/>
        </w:rPr>
      </w:pPr>
    </w:p>
    <w:sectPr w:rsidR="004D41C2" w:rsidRPr="004772B8" w:rsidSect="004772B8">
      <w:pgSz w:w="11906" w:h="16838"/>
      <w:pgMar w:top="1417" w:right="1701" w:bottom="1417" w:left="1701"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90C4A"/>
    <w:rsid w:val="000A38F5"/>
    <w:rsid w:val="000B7264"/>
    <w:rsid w:val="000C3754"/>
    <w:rsid w:val="000C549A"/>
    <w:rsid w:val="000F5417"/>
    <w:rsid w:val="00110B33"/>
    <w:rsid w:val="001334A8"/>
    <w:rsid w:val="00155307"/>
    <w:rsid w:val="00181890"/>
    <w:rsid w:val="001C1775"/>
    <w:rsid w:val="001D256D"/>
    <w:rsid w:val="002019F0"/>
    <w:rsid w:val="002523A8"/>
    <w:rsid w:val="002529F8"/>
    <w:rsid w:val="002556E8"/>
    <w:rsid w:val="00290E47"/>
    <w:rsid w:val="002F0054"/>
    <w:rsid w:val="003000CC"/>
    <w:rsid w:val="00311D8C"/>
    <w:rsid w:val="00316979"/>
    <w:rsid w:val="003329D1"/>
    <w:rsid w:val="003933FD"/>
    <w:rsid w:val="003A4B4A"/>
    <w:rsid w:val="003C1930"/>
    <w:rsid w:val="00447E16"/>
    <w:rsid w:val="0045217D"/>
    <w:rsid w:val="004772B8"/>
    <w:rsid w:val="004814A9"/>
    <w:rsid w:val="004C4438"/>
    <w:rsid w:val="004D41C2"/>
    <w:rsid w:val="004E497C"/>
    <w:rsid w:val="004E4D65"/>
    <w:rsid w:val="00501D1E"/>
    <w:rsid w:val="005A5B9F"/>
    <w:rsid w:val="005C5ADE"/>
    <w:rsid w:val="005D2DD0"/>
    <w:rsid w:val="005D3179"/>
    <w:rsid w:val="005E410C"/>
    <w:rsid w:val="005E7F5A"/>
    <w:rsid w:val="005F7D1C"/>
    <w:rsid w:val="00697A56"/>
    <w:rsid w:val="006A1C79"/>
    <w:rsid w:val="006A1CDB"/>
    <w:rsid w:val="006A323C"/>
    <w:rsid w:val="006A742B"/>
    <w:rsid w:val="006B2A9E"/>
    <w:rsid w:val="006C5529"/>
    <w:rsid w:val="006D499B"/>
    <w:rsid w:val="00717163"/>
    <w:rsid w:val="00724108"/>
    <w:rsid w:val="00724CF8"/>
    <w:rsid w:val="00771A95"/>
    <w:rsid w:val="007D5F2B"/>
    <w:rsid w:val="007E3E9D"/>
    <w:rsid w:val="007F24FD"/>
    <w:rsid w:val="00822A69"/>
    <w:rsid w:val="00842AB5"/>
    <w:rsid w:val="00843702"/>
    <w:rsid w:val="00855F70"/>
    <w:rsid w:val="00876971"/>
    <w:rsid w:val="008B38BB"/>
    <w:rsid w:val="008D3019"/>
    <w:rsid w:val="008F353B"/>
    <w:rsid w:val="0097190C"/>
    <w:rsid w:val="009772CF"/>
    <w:rsid w:val="00980575"/>
    <w:rsid w:val="0099668B"/>
    <w:rsid w:val="009B365C"/>
    <w:rsid w:val="00A1225C"/>
    <w:rsid w:val="00A137A8"/>
    <w:rsid w:val="00A43C04"/>
    <w:rsid w:val="00AA7A5E"/>
    <w:rsid w:val="00AF43F6"/>
    <w:rsid w:val="00B03375"/>
    <w:rsid w:val="00B21F6A"/>
    <w:rsid w:val="00B22234"/>
    <w:rsid w:val="00B55467"/>
    <w:rsid w:val="00B64F1D"/>
    <w:rsid w:val="00B76B9B"/>
    <w:rsid w:val="00BA1EFE"/>
    <w:rsid w:val="00BC1DF9"/>
    <w:rsid w:val="00BE6F36"/>
    <w:rsid w:val="00C700B1"/>
    <w:rsid w:val="00C81F48"/>
    <w:rsid w:val="00C87255"/>
    <w:rsid w:val="00CB2C28"/>
    <w:rsid w:val="00CB7EB0"/>
    <w:rsid w:val="00CD19C8"/>
    <w:rsid w:val="00CD6EA3"/>
    <w:rsid w:val="00CD7B52"/>
    <w:rsid w:val="00CF4996"/>
    <w:rsid w:val="00D01F48"/>
    <w:rsid w:val="00D14287"/>
    <w:rsid w:val="00D314C4"/>
    <w:rsid w:val="00D47413"/>
    <w:rsid w:val="00D770FE"/>
    <w:rsid w:val="00D82F81"/>
    <w:rsid w:val="00D93DB6"/>
    <w:rsid w:val="00DA74B5"/>
    <w:rsid w:val="00DD3605"/>
    <w:rsid w:val="00E168B5"/>
    <w:rsid w:val="00E27570"/>
    <w:rsid w:val="00E4194E"/>
    <w:rsid w:val="00E50226"/>
    <w:rsid w:val="00E504D8"/>
    <w:rsid w:val="00EC34F9"/>
    <w:rsid w:val="00F2112B"/>
    <w:rsid w:val="00F2735D"/>
    <w:rsid w:val="00F308C5"/>
    <w:rsid w:val="00F81413"/>
    <w:rsid w:val="00F8678C"/>
    <w:rsid w:val="00FA1309"/>
    <w:rsid w:val="00FC151E"/>
    <w:rsid w:val="00FD76C1"/>
    <w:rsid w:val="00FE024B"/>
    <w:rsid w:val="00FE6D86"/>
    <w:rsid w:val="00FF1F24"/>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hyperlink" Target="https://biorender.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944</TotalTime>
  <Pages>14</Pages>
  <Words>2299</Words>
  <Characters>15565</Characters>
  <Application>Microsoft Office Word</Application>
  <DocSecurity>0</DocSecurity>
  <Lines>277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100</cp:revision>
  <dcterms:created xsi:type="dcterms:W3CDTF">2026-07-25T20:28:00Z</dcterms:created>
  <dcterms:modified xsi:type="dcterms:W3CDTF">2026-07-29T00:51:00Z</dcterms:modified>
</cp:coreProperties>
</file>