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74772" w14:textId="137F8B7C"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br w:type="page"/>
      </w:r>
    </w:p>
    <w:p w14:paraId="1F16D443" w14:textId="49D9DB5E"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lastRenderedPageBreak/>
        <w:br w:type="page"/>
      </w:r>
    </w:p>
    <w:p w14:paraId="45C1747F" w14:textId="56D114A5" w:rsidR="004772B8" w:rsidRPr="001D256D" w:rsidRDefault="004772B8" w:rsidP="00855F70">
      <w:pPr>
        <w:spacing w:after="0" w:line="480" w:lineRule="auto"/>
        <w:jc w:val="both"/>
        <w:rPr>
          <w:rFonts w:ascii="Times New Roman" w:hAnsi="Times New Roman" w:cs="Times New Roman"/>
          <w:b/>
          <w:bCs/>
          <w:lang w:val="en-US"/>
        </w:rPr>
      </w:pPr>
      <w:commentRangeStart w:id="0"/>
      <w:r w:rsidRPr="001D256D">
        <w:rPr>
          <w:rFonts w:ascii="Times New Roman" w:hAnsi="Times New Roman" w:cs="Times New Roman"/>
          <w:b/>
          <w:bCs/>
          <w:lang w:val="en-US"/>
        </w:rPr>
        <w:lastRenderedPageBreak/>
        <w:t xml:space="preserve">2. </w:t>
      </w:r>
      <w:r w:rsidR="001D256D" w:rsidRPr="001D256D">
        <w:rPr>
          <w:rFonts w:ascii="Times New Roman" w:hAnsi="Times New Roman" w:cs="Times New Roman"/>
          <w:b/>
          <w:bCs/>
          <w:lang w:val="en-US"/>
        </w:rPr>
        <w:t>Materials and methods</w:t>
      </w:r>
      <w:commentRangeEnd w:id="0"/>
      <w:r w:rsidR="003A031D" w:rsidRPr="001D256D">
        <w:rPr>
          <w:rStyle w:val="Refdecomentrio"/>
          <w:rFonts w:ascii="Times New Roman" w:hAnsi="Times New Roman" w:cs="Times New Roman"/>
          <w:b/>
          <w:bCs/>
          <w:sz w:val="24"/>
          <w:szCs w:val="24"/>
          <w:lang w:val="en-US"/>
        </w:rPr>
        <w:commentReference w:id="0"/>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This retrospective translational study analyzed transcriptomic and clinical data from patients with relapsed or refractory (r/r) diffuse large B-cell lymphoma (DLBCL) treated with the axicabtagene ciloleucel (Axi-cel) anti-CD19 CAR T-cell therapy. Data were derived from the pivotal ZUMA-1 (NCT02348216; third-line setting) and ZUMA-7 (NCT03391466; second-line setting) clinical trials. The TCGA-DLBC cohort (N = 47; CAR-T naïve)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The architecture of the tumor microenvironment (TME) was deconvoluted using the Microenvironment Cell Populations-counter algorithm (MCP-counter; MCPcounter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lastRenderedPageBreak/>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$\text{Log}_2$-transformed counts were scaled into Z-scores and subjected to unsupervised hierarchical clustering (Euclidean distance and Ward's linkage method; stats R package v4.2.2), followed by visualization using multidimensional heatmaps (ComplexHeatmap v2.14.0).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map the global transcriptomic perturbations underlying primary resistance to Axi-cel, baseline differential expression analysis (DEA) was conducted using the limma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xml:space="preserve">| &gt; 0.5) for the initial prospection of signatures. Aiming to translate isolated transcripts into functional programs and capture biological heterogeneity at the individual patient level, Single-Sample Gene Set Enrichment Analysis (ssGSEA; GSVA v1.46.0) was employed. This approach quantified the activation intensity (Mean Normalized Enrichment Score, Mean NES) of eight ontological macrocategories from the MSigDB </w:t>
      </w:r>
      <w:r w:rsidRPr="00FA1309">
        <w:rPr>
          <w:rFonts w:ascii="Times New Roman" w:hAnsi="Times New Roman" w:cs="Times New Roman"/>
          <w:lang w:val="en-US"/>
        </w:rPr>
        <w:lastRenderedPageBreak/>
        <w:t>Hallmark collection. Complementarily, to identify the core mechanistic axes driving therapeutic failure at the population level, classical GSEA (fgsea v1.24.0) was performed based on the continuous statistical ranking derived from limma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determine the clinical impact of transcriptomic signatures on therapeutic efficacy, Event-Free Survival (EFS) within the ZUMA-7 cohort was modeled using Kaplan-Meier estimates and the log-rank test (survival R package v3.5-5, survminer v0.4.9).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w:t>
      </w:r>
      <w:r w:rsidRPr="00FA1309">
        <w:rPr>
          <w:rFonts w:ascii="Times New Roman" w:hAnsi="Times New Roman" w:cs="Times New Roman"/>
          <w:lang w:val="en-US"/>
        </w:rPr>
        <w:lastRenderedPageBreak/>
        <w:t>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w:t>
      </w:r>
      <w:r w:rsidRPr="00FA1309">
        <w:rPr>
          <w:rFonts w:ascii="Times New Roman" w:hAnsi="Times New Roman" w:cs="Times New Roman"/>
          <w:lang w:val="en-US"/>
        </w:rPr>
        <w:lastRenderedPageBreak/>
        <w:t>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was compiled and illustrated using the BioRender platform (</w:t>
      </w:r>
      <w:hyperlink r:id="rId12"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w:t>
      </w:r>
      <w:r w:rsidRPr="00F2735D">
        <w:rPr>
          <w:rFonts w:ascii="Times New Roman" w:hAnsi="Times New Roman" w:cs="Times New Roman"/>
          <w:lang w:val="en-US"/>
        </w:rPr>
        <w:lastRenderedPageBreak/>
        <w:t>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w:t>
      </w:r>
      <w:r w:rsidRPr="008C2BA8">
        <w:rPr>
          <w:rFonts w:ascii="Times New Roman" w:hAnsi="Times New Roman" w:cs="Times New Roman"/>
          <w:lang w:val="en-US"/>
        </w:rPr>
        <w:lastRenderedPageBreak/>
        <w:t>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corresponding to the panel established in the pivotal </w:t>
      </w:r>
      <w:r w:rsidRPr="00E96F36">
        <w:rPr>
          <w:rFonts w:ascii="Times New Roman" w:hAnsi="Times New Roman" w:cs="Times New Roman"/>
          <w:lang w:val="en-US"/>
        </w:rPr>
        <w:lastRenderedPageBreak/>
        <w:t>ZUMA-7 study (Locke et al., 2024)</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assessed in the Axi-cel-treated cohort. Patients are stratified by durable clinical outcome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 (Scholler et al., 2022), 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Analytical Integration and Biological Originality: Cross-Validation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1CA61DAF"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 (Scholler et al., 2022) and ZUMA-7 (Locke et al., 2024) 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8"/>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Category / Primary Function</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Gene / Marker</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ZUMA-1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ZUMA-7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Conclusion</w:t>
            </w:r>
            <w:r w:rsidRPr="0042659F">
              <w:rPr>
                <w:rFonts w:ascii="Times New Roman" w:hAnsi="Times New Roman" w:cs="Times New Roman"/>
              </w:rPr>
              <w:t>††</w:t>
            </w:r>
          </w:p>
        </w:tc>
      </w:tr>
      <w:tr w:rsidR="003E5AC9" w:rsidRPr="00403188"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Lineage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Target Preservation</w:t>
            </w:r>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xml:space="preserve">Context: </w:t>
            </w:r>
            <w:r w:rsidRPr="003E5AC9">
              <w:rPr>
                <w:rFonts w:ascii="Times New Roman" w:hAnsi="Times New Roman" w:cs="Times New Roman"/>
              </w:rPr>
              <w:t>B-cell signature.</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Antigen Presentation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ZUMA-1 did not show the same profile; this may be an effect of the lines of treatment, given that ZUMA-7 involves second-line treatment while ZUMA-1 involves third-line treatment.</w:t>
            </w:r>
          </w:p>
        </w:tc>
      </w:tr>
      <w:tr w:rsidR="003E5AC9" w:rsidRPr="00403188"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Hostile Microenvironment /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Significantly higher expression in Non-Responders⁴.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Associated with worse EFS and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403188"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prominently mentioned.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Associated with worse EFS and shorter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(indirectly)</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r w:rsidRPr="003E5AC9">
              <w:rPr>
                <w:rFonts w:ascii="Times New Roman" w:hAnsi="Times New Roman" w:cs="Times New Roman"/>
              </w:rPr>
              <w:t>This result aligns with the findings from ZUMA-7.</w:t>
            </w:r>
          </w:p>
        </w:tc>
      </w:tr>
      <w:tr w:rsidR="003E5AC9" w:rsidRPr="00403188"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Immune Activation and Dysfunction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demonstrated that CAR-T therapy reduces the expression of this gene in patients achieving a complete response, there was no </w:t>
            </w:r>
            <w:r w:rsidRPr="003E5AC9">
              <w:rPr>
                <w:rFonts w:ascii="Times New Roman" w:hAnsi="Times New Roman" w:cs="Times New Roman"/>
                <w:lang w:val="en-US"/>
              </w:rPr>
              <w:lastRenderedPageBreak/>
              <w:t>difference in baseline levels between responders and non-responders; the ZUMA-7 trial, meanwhile, did not directly address this.</w:t>
            </w:r>
          </w:p>
        </w:tc>
      </w:tr>
      <w:tr w:rsidR="003E5AC9" w:rsidRPr="00403188"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increase in OR⁷. Interestingly, the increase was more detectable in Non-CR.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(Cytotoxic). Signature associated with SOC, but not significantly with axi-cel.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403188"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specific</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Associated with resistance environments.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403188"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"Stem-like"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w:t>
            </w:r>
            <w:r w:rsidRPr="003E5AC9">
              <w:rPr>
                <w:rFonts w:ascii="Times New Roman" w:hAnsi="Times New Roman" w:cs="Times New Roman"/>
                <w:lang w:val="en-US"/>
              </w:rPr>
              <w:lastRenderedPageBreak/>
              <w:t xml:space="preserve">higher expression in responders⁹. </w:t>
            </w:r>
            <w:r w:rsidRPr="003E5AC9">
              <w:rPr>
                <w:rFonts w:ascii="Times New Roman" w:hAnsi="Times New Roman" w:cs="Times New Roman"/>
              </w:rPr>
              <w:t>RA isoform not detailed.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 xml:space="preserve">Strongest predictors of </w:t>
            </w:r>
            <w:r w:rsidRPr="003E5AC9">
              <w:rPr>
                <w:rFonts w:ascii="Times New Roman" w:hAnsi="Times New Roman" w:cs="Times New Roman"/>
                <w:lang w:val="en-US"/>
              </w:rPr>
              <w:lastRenderedPageBreak/>
              <w:t>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Presented as a potential baseline protective factor, confirmed by findings from </w:t>
            </w:r>
            <w:r w:rsidRPr="003E5AC9">
              <w:rPr>
                <w:rFonts w:ascii="Times New Roman" w:hAnsi="Times New Roman" w:cs="Times New Roman"/>
                <w:lang w:val="en-US"/>
              </w:rPr>
              <w:lastRenderedPageBreak/>
              <w:t>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403188"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Intrinsic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detailed individually.</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r w:rsidRPr="00B138CA">
        <w:rPr>
          <w:rFonts w:ascii="Times New Roman" w:hAnsi="Times New Roman" w:cs="Times New Roman"/>
          <w:b/>
          <w:bCs/>
          <w:lang w:val="en-US"/>
        </w:rPr>
        <w:t>Notes:</w:t>
      </w:r>
      <w:r w:rsidRPr="0042659F">
        <w:rPr>
          <w:rFonts w:ascii="Times New Roman" w:hAnsi="Times New Roman" w:cs="Times New Roman"/>
          <w:lang w:val="en-US"/>
        </w:rPr>
        <w:t xml:space="preserve"> †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lastRenderedPageBreak/>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6DCAFB0" w:rsidR="003E5AC9" w:rsidRPr="00DD4F74" w:rsidRDefault="008C2BA8" w:rsidP="00697A56">
      <w:pPr>
        <w:spacing w:after="0" w:line="480" w:lineRule="auto"/>
        <w:jc w:val="both"/>
        <w:rPr>
          <w:rFonts w:ascii="Times New Roman" w:hAnsi="Times New Roman" w:cs="Times New Roman"/>
          <w:lang w:val="en-US"/>
        </w:rPr>
      </w:pPr>
      <w:commentRangeStart w:id="1"/>
      <w:r>
        <w:rPr>
          <w:rFonts w:ascii="Arial" w:hAnsi="Arial" w:cs="Arial"/>
          <w:noProof/>
          <w:color w:val="000000"/>
          <w:sz w:val="20"/>
          <w:szCs w:val="20"/>
        </w:rPr>
        <w:lastRenderedPageBreak/>
        <w:drawing>
          <wp:inline distT="0" distB="0" distL="0" distR="0" wp14:anchorId="755744F5" wp14:editId="60B24ACB">
            <wp:extent cx="5400040" cy="4547870"/>
            <wp:effectExtent l="0" t="0" r="0" b="5080"/>
            <wp:docPr id="10993590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4547870"/>
                    </a:xfrm>
                    <a:prstGeom prst="rect">
                      <a:avLst/>
                    </a:prstGeom>
                    <a:noFill/>
                    <a:ln>
                      <a:noFill/>
                    </a:ln>
                  </pic:spPr>
                </pic:pic>
              </a:graphicData>
            </a:graphic>
          </wp:inline>
        </w:drawing>
      </w:r>
      <w:commentRangeEnd w:id="1"/>
      <w:r w:rsidR="00403188" w:rsidRPr="00DD4F74">
        <w:rPr>
          <w:rStyle w:val="Refdecomentrio"/>
          <w:rFonts w:ascii="Times New Roman" w:hAnsi="Times New Roman" w:cs="Times New Roman"/>
          <w:sz w:val="24"/>
          <w:szCs w:val="24"/>
          <w:lang w:val="en-US"/>
        </w:rPr>
        <w:commentReference w:id="1"/>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54E84510"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dedifferentiation—orchestrated by the loss of B-cell identity, cell cycle hyperactivation, and tissue remodeling programs (EMT and CDH2/NCAM1-mediated adhesion)—fosters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73F145F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 (Jain et al., 2021; Majzner et al., 2018). Consistent with this premise, our data demonstrate that Axi-cel efficacy relies fundamentally on the overall preservation of B-cell lineage identity (CD19, MS4A1, TNFRSF17). These observations support a model in which CD19 expression is necessary but not sufficient, indicating that </w:t>
      </w:r>
      <w:r w:rsidRPr="005C2D0A">
        <w:rPr>
          <w:rFonts w:ascii="Times New Roman" w:hAnsi="Times New Roman" w:cs="Times New Roman"/>
          <w:lang w:val="en-US"/>
        </w:rPr>
        <w:lastRenderedPageBreak/>
        <w:t>tumors retaining a differentiated and mature lymphoid program remain significantly more susceptible to CAR T-cell-mediated cytotoxicity.</w:t>
      </w:r>
    </w:p>
    <w:p w14:paraId="3B03A18D" w14:textId="3C9F93C4"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 (Chong et al., 2017; Hill et al., 2018; Chong et al., 2022).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p>
    <w:p w14:paraId="1FE35457" w14:textId="4D4DB822"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 Although chronic IFN signaling can induce adaptive resistance (Benci et al., 2016), our data do not support a model of excessive inflammation. Instead, they point to an inability to mount an effective baseline inflammatory program, coupled with immune exclusion </w:t>
      </w:r>
      <w:r w:rsidRPr="005C2D0A">
        <w:rPr>
          <w:rFonts w:ascii="Times New Roman" w:hAnsi="Times New Roman" w:cs="Times New Roman"/>
          <w:lang w:val="en-US"/>
        </w:rPr>
        <w:lastRenderedPageBreak/>
        <w:t>mediated by alternative chemotactic axes, such as the hyperactivation of CCL20 (Karin and Clevers, 2016; Liu et al., 2021).</w:t>
      </w:r>
    </w:p>
    <w:p w14:paraId="4284D6FD" w14:textId="505A001B"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 (Chaffer &amp; Weinberg, 2011; Terry et al., 2017). Notably, the WNT11 gene emerged not only as a predictor of CAR T-cell failure but also as a transversal pan-prognostic marker, indicating an intrinsic tumor hyperaggressiveness that confers cross-resistance to both conventional chemotherapy and cellular immunotherapy (Galluzzi et al., 2018; Wang et al., 2020).</w:t>
      </w:r>
    </w:p>
    <w:p w14:paraId="0E2B99B7" w14:textId="47248E43"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 (Alspach et al., 2019).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 (Ritthipichai et al., 2017).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033AE3C2" w14:textId="557172A2" w:rsidR="000C3C2A" w:rsidRPr="000C3C2A" w:rsidRDefault="000C3C2A" w:rsidP="000C3C2A">
      <w:pPr>
        <w:spacing w:after="0" w:line="480" w:lineRule="auto"/>
        <w:jc w:val="both"/>
        <w:rPr>
          <w:rFonts w:ascii="Times New Roman" w:hAnsi="Times New Roman" w:cs="Times New Roman"/>
        </w:rPr>
      </w:pPr>
      <w:r w:rsidRPr="000C3C2A">
        <w:rPr>
          <w:rFonts w:ascii="Times New Roman" w:hAnsi="Times New Roman" w:cs="Times New Roman"/>
        </w:rPr>
        <w:t>Em conjunto, este estudo promove uma importante mudança de paradigma na compreensão dos mecanismos de resistência à terapia com células CAR-T anti-CD19 (Axi-cel) no linfoma difuso de grandes células B (DLBCL). Demonstramos que a falha terapêutica não é primariamente ditada pela perda isolada do antígeno CD19 ou pela exaustão imune pré-existente no microambiente tumoral. Em vez disso, a sensibilidade ao Axi-cel depende da preservação da integridade fenotípica global da linhagem B (CD19, MS4A1, TNFRSF17) e da competência funcional de sinalização imunológica (IRF8, HLA-DOB, BTLA). Em contrapartida, o escape terapêutico precoce é impulsionado por determinantes biológicos intrínsecos do clone maligno, incluindo a perda da diferenciação linfoide, a ativação de programas de remodelamento tecidual e transição epitélio-mesenquimal (EMT; mediada por CDH2 e NCAM1), a quimiotaxia de exclusão imune (CCL20) e um estado de hiperagressividade basal (WNT11).</w:t>
      </w:r>
    </w:p>
    <w:p w14:paraId="45FF5476" w14:textId="3B428D7E" w:rsidR="00756E06" w:rsidRPr="000C3C2A" w:rsidRDefault="006B2A9E" w:rsidP="000C3C2A">
      <w:pPr>
        <w:spacing w:after="0" w:line="480" w:lineRule="auto"/>
        <w:jc w:val="both"/>
        <w:rPr>
          <w:rFonts w:ascii="Times New Roman" w:hAnsi="Times New Roman" w:cs="Times New Roman"/>
          <w:lang w:val="en-US"/>
        </w:rPr>
      </w:pPr>
      <w:r w:rsidRPr="000C3C2A">
        <w:rPr>
          <w:rFonts w:ascii="Times New Roman" w:hAnsi="Times New Roman" w:cs="Times New Roman"/>
          <w:b/>
          <w:bCs/>
        </w:rPr>
        <w:br w:type="page"/>
      </w:r>
      <w:r w:rsidR="00172BCD" w:rsidRPr="00172BCD">
        <w:rPr>
          <w:rFonts w:ascii="Times New Roman" w:hAnsi="Times New Roman" w:cs="Times New Roman"/>
          <w:b/>
          <w:bCs/>
          <w:lang w:val="en-US"/>
        </w:rPr>
        <w:lastRenderedPageBreak/>
        <w:t>Supplementary Material</w:t>
      </w:r>
    </w:p>
    <w:p w14:paraId="7FC57E2E" w14:textId="77777777" w:rsidR="00756E06" w:rsidRPr="00172BCD" w:rsidRDefault="00756E06" w:rsidP="00855F70">
      <w:pPr>
        <w:spacing w:after="0" w:line="480" w:lineRule="auto"/>
        <w:jc w:val="both"/>
        <w:rPr>
          <w:rFonts w:ascii="Times New Roman" w:hAnsi="Times New Roman" w:cs="Times New Roman"/>
          <w:lang w:val="en-US"/>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r w:rsidRPr="00756E06">
              <w:rPr>
                <w:rFonts w:ascii="Times New Roman" w:hAnsi="Times New Roman" w:cs="Times New Roman"/>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r w:rsidRPr="000C069A">
              <w:rPr>
                <w:rFonts w:ascii="Times New Roman" w:hAnsi="Times New Roman" w:cs="Times New Roman"/>
              </w:rPr>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39AB8B8D" w14:textId="77777777" w:rsidR="00756E06" w:rsidRDefault="00756E06" w:rsidP="00855F70">
      <w:pPr>
        <w:spacing w:after="0" w:line="480" w:lineRule="auto"/>
        <w:jc w:val="both"/>
        <w:rPr>
          <w:rFonts w:ascii="Times New Roman" w:hAnsi="Times New Roman" w:cs="Times New Roman"/>
          <w:lang w:val="en-US"/>
        </w:rPr>
      </w:pPr>
    </w:p>
    <w:p w14:paraId="2FF7C721" w14:textId="77777777" w:rsidR="00756E06" w:rsidRDefault="00756E06" w:rsidP="00855F70">
      <w:pPr>
        <w:spacing w:after="0" w:line="480" w:lineRule="auto"/>
        <w:jc w:val="both"/>
        <w:rPr>
          <w:rFonts w:ascii="Times New Roman" w:hAnsi="Times New Roman" w:cs="Times New Roman"/>
          <w:lang w:val="en-US"/>
        </w:rPr>
      </w:pPr>
    </w:p>
    <w:p w14:paraId="2C5C9042" w14:textId="77777777" w:rsidR="00D81832" w:rsidRDefault="00D81832" w:rsidP="00855F70">
      <w:pPr>
        <w:spacing w:after="0" w:line="480" w:lineRule="auto"/>
        <w:jc w:val="both"/>
        <w:rPr>
          <w:rFonts w:ascii="Times New Roman" w:hAnsi="Times New Roman" w:cs="Times New Roman"/>
          <w:lang w:val="en-US"/>
        </w:rPr>
      </w:pPr>
    </w:p>
    <w:p w14:paraId="233BFC23" w14:textId="77777777" w:rsidR="00D81832" w:rsidRDefault="00D81832" w:rsidP="00855F70">
      <w:pPr>
        <w:spacing w:after="0" w:line="480" w:lineRule="auto"/>
        <w:jc w:val="both"/>
        <w:rPr>
          <w:rFonts w:ascii="Times New Roman" w:hAnsi="Times New Roman" w:cs="Times New Roman"/>
          <w:lang w:val="en-US"/>
        </w:rPr>
      </w:pP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an Resende" w:date="2026-07-29T17:14:00Z" w:initials="JR">
    <w:p w14:paraId="143AE7CA" w14:textId="77777777" w:rsidR="003A031D" w:rsidRDefault="003A031D" w:rsidP="003A031D">
      <w:pPr>
        <w:pStyle w:val="Textodecomentrio"/>
      </w:pPr>
      <w:r>
        <w:rPr>
          <w:rStyle w:val="Refdecomentrio"/>
        </w:rPr>
        <w:annotationRef/>
      </w:r>
      <w:r>
        <w:t>1.412 palavras contando com os títulos das seções</w:t>
      </w:r>
    </w:p>
  </w:comment>
  <w:comment w:id="1" w:author="Jean Resende" w:date="2026-07-30T06:18:00Z" w:initials="JR">
    <w:p w14:paraId="6B9337FE" w14:textId="77777777" w:rsidR="00403188" w:rsidRDefault="00403188" w:rsidP="00403188">
      <w:pPr>
        <w:pStyle w:val="Textodecomentrio"/>
      </w:pPr>
      <w:r>
        <w:rPr>
          <w:rStyle w:val="Refdecomentrio"/>
        </w:rPr>
        <w:annotationRef/>
      </w:r>
      <w:r>
        <w:t>Pensei em ver uma alternativa com o fundo branco ao invés de vermelho e azul, o que acha? Ou o sr. Prefere dessa forma pois os fundos ajudam a entender melhor cada cenário?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3AE7CA" w15:done="0"/>
  <w15:commentEx w15:paraId="6B9337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7F57E" w16cex:dateUtc="2026-07-29T20:14:00Z"/>
  <w16cex:commentExtensible w16cex:durableId="151EA28C" w16cex:dateUtc="2026-07-30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3AE7CA" w16cid:durableId="23A7F57E"/>
  <w16cid:commentId w16cid:paraId="6B9337FE" w16cid:durableId="151EA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D751B" w14:textId="77777777" w:rsidR="009A34C9" w:rsidRDefault="009A34C9" w:rsidP="000853FE">
      <w:pPr>
        <w:spacing w:after="0" w:line="240" w:lineRule="auto"/>
      </w:pPr>
      <w:r>
        <w:separator/>
      </w:r>
    </w:p>
  </w:endnote>
  <w:endnote w:type="continuationSeparator" w:id="0">
    <w:p w14:paraId="5104B5D6" w14:textId="77777777" w:rsidR="009A34C9" w:rsidRDefault="009A34C9"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29319" w14:textId="77777777" w:rsidR="009A34C9" w:rsidRDefault="009A34C9" w:rsidP="000853FE">
      <w:pPr>
        <w:spacing w:after="0" w:line="240" w:lineRule="auto"/>
      </w:pPr>
      <w:r>
        <w:separator/>
      </w:r>
    </w:p>
  </w:footnote>
  <w:footnote w:type="continuationSeparator" w:id="0">
    <w:p w14:paraId="258A8081" w14:textId="77777777" w:rsidR="009A34C9" w:rsidRDefault="009A34C9"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3C2A"/>
    <w:rsid w:val="000C549A"/>
    <w:rsid w:val="000F5417"/>
    <w:rsid w:val="00110B33"/>
    <w:rsid w:val="001334A8"/>
    <w:rsid w:val="00155307"/>
    <w:rsid w:val="00172BCD"/>
    <w:rsid w:val="00181890"/>
    <w:rsid w:val="001C1775"/>
    <w:rsid w:val="001D256D"/>
    <w:rsid w:val="001F60D7"/>
    <w:rsid w:val="002019F0"/>
    <w:rsid w:val="002523A8"/>
    <w:rsid w:val="002529F8"/>
    <w:rsid w:val="002556E8"/>
    <w:rsid w:val="00290E47"/>
    <w:rsid w:val="002F0054"/>
    <w:rsid w:val="003000CC"/>
    <w:rsid w:val="00303E8C"/>
    <w:rsid w:val="00311D8C"/>
    <w:rsid w:val="00316979"/>
    <w:rsid w:val="003329D1"/>
    <w:rsid w:val="0035187C"/>
    <w:rsid w:val="003933FD"/>
    <w:rsid w:val="003A031D"/>
    <w:rsid w:val="003A4B4A"/>
    <w:rsid w:val="003C1930"/>
    <w:rsid w:val="003E5AC9"/>
    <w:rsid w:val="003E76B2"/>
    <w:rsid w:val="00403188"/>
    <w:rsid w:val="0042659F"/>
    <w:rsid w:val="00447E16"/>
    <w:rsid w:val="0045217D"/>
    <w:rsid w:val="004772B8"/>
    <w:rsid w:val="004814A9"/>
    <w:rsid w:val="004B3329"/>
    <w:rsid w:val="004C4438"/>
    <w:rsid w:val="004D41C2"/>
    <w:rsid w:val="004E497C"/>
    <w:rsid w:val="004E4D65"/>
    <w:rsid w:val="004E53FA"/>
    <w:rsid w:val="00501D1E"/>
    <w:rsid w:val="00520ED2"/>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D5F2B"/>
    <w:rsid w:val="007E3E9D"/>
    <w:rsid w:val="007F24FD"/>
    <w:rsid w:val="00822A69"/>
    <w:rsid w:val="00842AB5"/>
    <w:rsid w:val="00843702"/>
    <w:rsid w:val="00855F70"/>
    <w:rsid w:val="00876971"/>
    <w:rsid w:val="008A7D19"/>
    <w:rsid w:val="008B38BB"/>
    <w:rsid w:val="008C2BA8"/>
    <w:rsid w:val="008D3019"/>
    <w:rsid w:val="008F353B"/>
    <w:rsid w:val="0094675C"/>
    <w:rsid w:val="0097190C"/>
    <w:rsid w:val="009772CF"/>
    <w:rsid w:val="00980575"/>
    <w:rsid w:val="009919A4"/>
    <w:rsid w:val="0099668B"/>
    <w:rsid w:val="009A34C9"/>
    <w:rsid w:val="009A3C05"/>
    <w:rsid w:val="009B365C"/>
    <w:rsid w:val="00A1225C"/>
    <w:rsid w:val="00A137A8"/>
    <w:rsid w:val="00A43C04"/>
    <w:rsid w:val="00A73462"/>
    <w:rsid w:val="00AA4D6C"/>
    <w:rsid w:val="00AA7A5E"/>
    <w:rsid w:val="00AF43F6"/>
    <w:rsid w:val="00B03375"/>
    <w:rsid w:val="00B03DC1"/>
    <w:rsid w:val="00B138CA"/>
    <w:rsid w:val="00B21F6A"/>
    <w:rsid w:val="00B22234"/>
    <w:rsid w:val="00B44954"/>
    <w:rsid w:val="00B55467"/>
    <w:rsid w:val="00B64F1D"/>
    <w:rsid w:val="00B76B9B"/>
    <w:rsid w:val="00BA1EFE"/>
    <w:rsid w:val="00BC1DF9"/>
    <w:rsid w:val="00BE6F36"/>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27570"/>
    <w:rsid w:val="00E4194E"/>
    <w:rsid w:val="00E50226"/>
    <w:rsid w:val="00E504D8"/>
    <w:rsid w:val="00E96F36"/>
    <w:rsid w:val="00EC34F9"/>
    <w:rsid w:val="00F2112B"/>
    <w:rsid w:val="00F2735D"/>
    <w:rsid w:val="00F308C5"/>
    <w:rsid w:val="00F81413"/>
    <w:rsid w:val="00F86438"/>
    <w:rsid w:val="00F8678C"/>
    <w:rsid w:val="00FA1309"/>
    <w:rsid w:val="00FC151E"/>
    <w:rsid w:val="00FD76C1"/>
    <w:rsid w:val="00FE024B"/>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biorender.com"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1723</TotalTime>
  <Pages>69</Pages>
  <Words>14502</Words>
  <Characters>85127</Characters>
  <Application>Microsoft Office Word</Application>
  <DocSecurity>0</DocSecurity>
  <Lines>7093</Lines>
  <Paragraphs>6226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104</cp:revision>
  <dcterms:created xsi:type="dcterms:W3CDTF">2026-07-25T20:28:00Z</dcterms:created>
  <dcterms:modified xsi:type="dcterms:W3CDTF">2026-07-30T09:34:00Z</dcterms:modified>
</cp:coreProperties>
</file>