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4772" w14:textId="137F8B7C" w:rsidR="004772B8" w:rsidRP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 w:rsidRPr="004772B8">
        <w:rPr>
          <w:rFonts w:ascii="Times New Roman" w:hAnsi="Times New Roman" w:cs="Times New Roman"/>
        </w:rPr>
        <w:br w:type="page"/>
      </w:r>
    </w:p>
    <w:p w14:paraId="1F16D443" w14:textId="49D9DB5E" w:rsidR="004772B8" w:rsidRP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 w:rsidRPr="004772B8">
        <w:rPr>
          <w:rFonts w:ascii="Times New Roman" w:hAnsi="Times New Roman" w:cs="Times New Roman"/>
        </w:rPr>
        <w:lastRenderedPageBreak/>
        <w:br w:type="page"/>
      </w:r>
    </w:p>
    <w:p w14:paraId="45C1747F" w14:textId="7FA5366F" w:rsidR="004772B8" w:rsidRP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2. </w:t>
      </w:r>
      <w:r w:rsidRPr="004772B8">
        <w:rPr>
          <w:rFonts w:ascii="Times New Roman" w:hAnsi="Times New Roman" w:cs="Times New Roman"/>
          <w:b/>
          <w:bCs/>
        </w:rPr>
        <w:t>Materiais e Métodos</w:t>
      </w:r>
    </w:p>
    <w:p w14:paraId="02A62FCC" w14:textId="77777777" w:rsid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45DEFE2" w14:textId="77777777" w:rsidR="004772B8" w:rsidRP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4772B8">
        <w:rPr>
          <w:rFonts w:ascii="Times New Roman" w:hAnsi="Times New Roman" w:cs="Times New Roman"/>
          <w:b/>
          <w:bCs/>
        </w:rPr>
        <w:t>2.1 Desenho do Estudo e Coortes Clínicas</w:t>
      </w:r>
    </w:p>
    <w:p w14:paraId="40C1115C" w14:textId="77777777" w:rsid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4729B1B" w14:textId="6EAEA49E" w:rsid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 w:rsidRPr="004772B8">
        <w:rPr>
          <w:rFonts w:ascii="Times New Roman" w:hAnsi="Times New Roman" w:cs="Times New Roman"/>
        </w:rPr>
        <w:t>Este estudo translacional retrospectivo baseia-se na integração e análise comparativa de perfis transcriptômicos e dados clínicos de pacientes com linfoma difuso de grandes células B (DLBCL) refratário ou recidivado (r/r) tratados com a terapia CAR-T anti-CD19 axicabtagene ciloleucel (Axi-cel), provenientes dos ensaios clínicos pivotais ZUMA-1 (NCT02348216; terceira linha de tratamento) e ZUMA-7 (NCT03391466; segunda linha de tratamento). Para determinar a especificidade terapêutica dos biomarcadores identificados e discriminar mecanismos de resistência específicos do Axi-cel de fatores prognósticos tumorais gerais (independentes do tratamento), dados transcriptômicos e de sobrevida da coorte TCGA-DLBC (The Cancer Genome Atlas, N = 47; virgem de tratamento CAR-T) foram incorporados como coorte controle de referência.</w:t>
      </w:r>
    </w:p>
    <w:p w14:paraId="4D314C9E" w14:textId="77777777" w:rsidR="001334A8" w:rsidRPr="004772B8" w:rsidRDefault="001334A8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1540E3FC" w14:textId="3803C6D5" w:rsidR="004772B8" w:rsidRDefault="004772B8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 w:rsidRPr="004772B8">
        <w:rPr>
          <w:rFonts w:ascii="Times New Roman" w:hAnsi="Times New Roman" w:cs="Times New Roman"/>
        </w:rPr>
        <w:t>Para investigar a dinâmica do microambiente tumoral (TME) sob pressão seletiva do CAR-T, a coorte ZUMA-1 foi analisada em dois planos: uma avaliação transversal de baseline (pré-linfodepleção) compreendendo 29 pacientes estratificados por taxa de resposta (20 com Resposta Completa [CR] versus 9 Não-CR); e uma análise longitudinal intra-paciente pareada (pós-infusão versus baseline) em um subgrupo de 8 pacientes que atingiram CR.</w:t>
      </w:r>
    </w:p>
    <w:p w14:paraId="725454EC" w14:textId="77777777" w:rsidR="001334A8" w:rsidRPr="004772B8" w:rsidRDefault="001334A8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5612ABE0" w14:textId="77777777" w:rsidR="001334A8" w:rsidRDefault="004772B8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4772B8">
        <w:rPr>
          <w:rFonts w:ascii="Times New Roman" w:hAnsi="Times New Roman" w:cs="Times New Roman"/>
        </w:rPr>
        <w:t xml:space="preserve">No estudo ZUMA-7, a análise concentrou-se nas biópsias tumorais de baseline para a validação prognóstica e de independência microambiental. Os desfechos clínicos </w:t>
      </w:r>
      <w:r w:rsidRPr="004772B8">
        <w:rPr>
          <w:rFonts w:ascii="Times New Roman" w:hAnsi="Times New Roman" w:cs="Times New Roman"/>
        </w:rPr>
        <w:lastRenderedPageBreak/>
        <w:t>modelados foram a Sobrevida Livre de Eventos (EFS) e a eficácia clínica categórica. O braço experimental tratado com Axi-cel totalizou 134 amostras avaliáveis (58 com Resposta Sustentada, 70 com Falha na Resposta e 6 sem classificação), enquanto o braço controle sob o padrão de tratamento (SOC - Standard of Care, baseado em quimioimunoterapia de resgate) compreendeu 122 amostras (18 com Resposta Sustentada, 80 com Falha na Resposta e 24 com dados indisponíveis). Fatores prognósticos clínicos estabelecidos, como a carga tumoral basal (Soma dos Diâmetros Perpendiculares - SPD) e a Célula de Origem (COO), foram extraídos para ajuste nos modelos multivariados.</w:t>
      </w:r>
    </w:p>
    <w:p w14:paraId="5A3CCEE5" w14:textId="77777777" w:rsidR="000B7264" w:rsidRDefault="000B7264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3DF3012F" w14:textId="0DBD9284" w:rsidR="001334A8" w:rsidRPr="00012DC6" w:rsidRDefault="001334A8" w:rsidP="00CD6EA3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012DC6">
        <w:rPr>
          <w:rFonts w:ascii="Times New Roman" w:hAnsi="Times New Roman" w:cs="Times New Roman"/>
          <w:b/>
          <w:bCs/>
        </w:rPr>
        <w:t xml:space="preserve">2.2 </w:t>
      </w:r>
      <w:r w:rsidR="000B7264" w:rsidRPr="00012DC6">
        <w:rPr>
          <w:rFonts w:ascii="Times New Roman" w:hAnsi="Times New Roman" w:cs="Times New Roman"/>
          <w:b/>
          <w:bCs/>
        </w:rPr>
        <w:t>Aquisição e Processamento dos Dados Transcriptômicos</w:t>
      </w:r>
    </w:p>
    <w:p w14:paraId="4C994B71" w14:textId="77777777" w:rsidR="000B7264" w:rsidRDefault="000B7264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3A2C6427" w14:textId="06194635" w:rsidR="000B7264" w:rsidRDefault="000B7264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0B7264">
        <w:rPr>
          <w:rFonts w:ascii="Times New Roman" w:hAnsi="Times New Roman" w:cs="Times New Roman"/>
        </w:rPr>
        <w:t>As matrizes de expressão gênica obtidas por microarray customizado foram extraídas do repositório Gene Expression Omnibus (GEO) sob os acessos GSE197977 (ZUMA-1; 74 amostras válidas cobrindo 724 genes) e GSE248835 (ZUMA-7; 256 amostras cobrindo 817 genes e assinaturas funcionais). Os dados de RNA-seq e sobrevida da coorte TCGA-DLBC</w:t>
      </w:r>
      <w:r w:rsidR="00771A95">
        <w:rPr>
          <w:rFonts w:ascii="Times New Roman" w:hAnsi="Times New Roman" w:cs="Times New Roman"/>
        </w:rPr>
        <w:t xml:space="preserve"> (</w:t>
      </w:r>
      <w:r w:rsidR="004C4438">
        <w:rPr>
          <w:rFonts w:ascii="Times New Roman" w:hAnsi="Times New Roman" w:cs="Times New Roman"/>
        </w:rPr>
        <w:t xml:space="preserve">RNA-Seq em TPM [Transcritos por Milhão]; </w:t>
      </w:r>
      <w:r w:rsidR="00CD19C8">
        <w:rPr>
          <w:rFonts w:ascii="Times New Roman" w:hAnsi="Times New Roman" w:cs="Times New Roman"/>
        </w:rPr>
        <w:t>47 amostras</w:t>
      </w:r>
      <w:r w:rsidR="00771A95">
        <w:rPr>
          <w:rFonts w:ascii="Times New Roman" w:hAnsi="Times New Roman" w:cs="Times New Roman"/>
        </w:rPr>
        <w:t>)</w:t>
      </w:r>
      <w:r w:rsidRPr="000B7264">
        <w:rPr>
          <w:rFonts w:ascii="Times New Roman" w:hAnsi="Times New Roman" w:cs="Times New Roman"/>
        </w:rPr>
        <w:t xml:space="preserve"> foram obtidos via repositório GDC (Genomic Data Commons).</w:t>
      </w:r>
    </w:p>
    <w:p w14:paraId="69649AEE" w14:textId="77777777" w:rsidR="00980575" w:rsidRDefault="00980575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2034A96F" w14:textId="2D934B4F" w:rsidR="00980575" w:rsidRDefault="00980575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980575">
        <w:rPr>
          <w:rFonts w:ascii="Times New Roman" w:hAnsi="Times New Roman" w:cs="Times New Roman"/>
        </w:rPr>
        <w:t>Todas as matrizes foram processadas a partir de contagens normalizadas intra-plataforma e devidamente mapeadas para Gene Symbols. Para garantir a comparabilidade estatística direta entre as três coortes e estabilizar a variância dos dados, os perfis transcriptômicos foram submetidos à transformação logarítmica na base 2 (Log2) antes de qualquer análise de sobrevida ou regressão.</w:t>
      </w:r>
    </w:p>
    <w:p w14:paraId="5E16C2E1" w14:textId="77777777" w:rsidR="00181890" w:rsidRDefault="00181890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08DEB03E" w14:textId="1352F6A9" w:rsidR="007D5F2B" w:rsidRPr="007D5F2B" w:rsidRDefault="007D5F2B" w:rsidP="007D5F2B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7D5F2B">
        <w:rPr>
          <w:rFonts w:ascii="Times New Roman" w:hAnsi="Times New Roman" w:cs="Times New Roman"/>
          <w:b/>
          <w:bCs/>
        </w:rPr>
        <w:lastRenderedPageBreak/>
        <w:t>2.3 Deconvolução do Microambiente Tumoral e Integridade da Linhagem B</w:t>
      </w:r>
    </w:p>
    <w:p w14:paraId="621BE3CF" w14:textId="77777777" w:rsidR="007D5F2B" w:rsidRPr="007D5F2B" w:rsidRDefault="007D5F2B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C0183F7" w14:textId="3FFB2109" w:rsidR="00181890" w:rsidRDefault="007D5F2B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7D5F2B">
        <w:rPr>
          <w:rFonts w:ascii="Times New Roman" w:hAnsi="Times New Roman" w:cs="Times New Roman"/>
        </w:rPr>
        <w:t xml:space="preserve">Para caracterizar a arquitetura do microambiente </w:t>
      </w:r>
      <w:r>
        <w:rPr>
          <w:rFonts w:ascii="Times New Roman" w:hAnsi="Times New Roman" w:cs="Times New Roman"/>
        </w:rPr>
        <w:t>tumoral</w:t>
      </w:r>
      <w:r w:rsidRPr="007D5F2B">
        <w:rPr>
          <w:rFonts w:ascii="Times New Roman" w:hAnsi="Times New Roman" w:cs="Times New Roman"/>
        </w:rPr>
        <w:t xml:space="preserve"> (TME) a partir dos perfis de expressão</w:t>
      </w:r>
      <w:r>
        <w:rPr>
          <w:rFonts w:ascii="Times New Roman" w:hAnsi="Times New Roman" w:cs="Times New Roman"/>
        </w:rPr>
        <w:t xml:space="preserve"> gênica</w:t>
      </w:r>
      <w:r w:rsidRPr="007D5F2B">
        <w:rPr>
          <w:rFonts w:ascii="Times New Roman" w:hAnsi="Times New Roman" w:cs="Times New Roman"/>
        </w:rPr>
        <w:t xml:space="preserve">, </w:t>
      </w:r>
      <w:r w:rsidR="00C700B1">
        <w:rPr>
          <w:rFonts w:ascii="Times New Roman" w:hAnsi="Times New Roman" w:cs="Times New Roman"/>
        </w:rPr>
        <w:t>foi aplicado</w:t>
      </w:r>
      <w:r w:rsidRPr="007D5F2B">
        <w:rPr>
          <w:rFonts w:ascii="Times New Roman" w:hAnsi="Times New Roman" w:cs="Times New Roman"/>
        </w:rPr>
        <w:t xml:space="preserve"> o algoritmo computacional Microenvironment Cell Populations-counter (MCP-counter) utilizando o pacote R </w:t>
      </w:r>
      <w:r w:rsidRPr="00C700B1">
        <w:rPr>
          <w:rFonts w:ascii="Times New Roman" w:hAnsi="Times New Roman" w:cs="Times New Roman"/>
          <w:highlight w:val="yellow"/>
        </w:rPr>
        <w:t>MCPcounter (v1.2.0)</w:t>
      </w:r>
      <w:r w:rsidRPr="007D5F2B">
        <w:rPr>
          <w:rFonts w:ascii="Times New Roman" w:hAnsi="Times New Roman" w:cs="Times New Roman"/>
        </w:rPr>
        <w:t>. Esta metodologia</w:t>
      </w:r>
      <w:r w:rsidR="00C700B1">
        <w:rPr>
          <w:rFonts w:ascii="Times New Roman" w:hAnsi="Times New Roman" w:cs="Times New Roman"/>
        </w:rPr>
        <w:t>,</w:t>
      </w:r>
      <w:r w:rsidRPr="007D5F2B">
        <w:rPr>
          <w:rFonts w:ascii="Times New Roman" w:hAnsi="Times New Roman" w:cs="Times New Roman"/>
        </w:rPr>
        <w:t xml:space="preserve"> baseada em assinaturas transcricionais ortogonais</w:t>
      </w:r>
      <w:r w:rsidR="00C700B1">
        <w:rPr>
          <w:rFonts w:ascii="Times New Roman" w:hAnsi="Times New Roman" w:cs="Times New Roman"/>
        </w:rPr>
        <w:t>,</w:t>
      </w:r>
      <w:r w:rsidRPr="007D5F2B">
        <w:rPr>
          <w:rFonts w:ascii="Times New Roman" w:hAnsi="Times New Roman" w:cs="Times New Roman"/>
        </w:rPr>
        <w:t xml:space="preserve"> permitiu a estimativa quantitativa da abundância absoluta de oito populações de células imunes (incluindo células T, linfócitos T CD8+, linfócitos citotóxicos, células Natural Killer, linhagem monocítica,</w:t>
      </w:r>
      <w:r w:rsidR="00E168B5">
        <w:rPr>
          <w:rFonts w:ascii="Times New Roman" w:hAnsi="Times New Roman" w:cs="Times New Roman"/>
        </w:rPr>
        <w:t xml:space="preserve"> </w:t>
      </w:r>
      <w:r w:rsidR="00E168B5" w:rsidRPr="00E168B5">
        <w:rPr>
          <w:rFonts w:ascii="Times New Roman" w:hAnsi="Times New Roman" w:cs="Times New Roman"/>
        </w:rPr>
        <w:t>células dendríticas mieloides</w:t>
      </w:r>
      <w:r w:rsidR="00E168B5">
        <w:rPr>
          <w:rFonts w:ascii="Times New Roman" w:hAnsi="Times New Roman" w:cs="Times New Roman"/>
        </w:rPr>
        <w:t>,</w:t>
      </w:r>
      <w:r w:rsidRPr="007D5F2B">
        <w:rPr>
          <w:rFonts w:ascii="Times New Roman" w:hAnsi="Times New Roman" w:cs="Times New Roman"/>
        </w:rPr>
        <w:t xml:space="preserve"> neutrófilos e linhagem B) e duas populações do estroma (células endoteliais e fibroblastos).</w:t>
      </w:r>
    </w:p>
    <w:p w14:paraId="5ED11201" w14:textId="77777777" w:rsidR="003933FD" w:rsidRDefault="003933FD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46F2567D" w14:textId="3C5BC6D7" w:rsidR="000C549A" w:rsidRDefault="000C549A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avaliar a dinâmica e a integridade do alvo terapêutico, </w:t>
      </w:r>
      <w:r w:rsidR="00B22234">
        <w:rPr>
          <w:rFonts w:ascii="Times New Roman" w:hAnsi="Times New Roman" w:cs="Times New Roman"/>
        </w:rPr>
        <w:t>foi investigado a variação dos escores de abundância da linhagem B em conjunto com a expressão de seus genes marcadores canônicos</w:t>
      </w:r>
      <w:r w:rsidR="00AF43F6">
        <w:rPr>
          <w:rFonts w:ascii="Times New Roman" w:hAnsi="Times New Roman" w:cs="Times New Roman"/>
        </w:rPr>
        <w:t xml:space="preserve">, conforme previamente estabelecido nos estudos pivotais ZUMA-1 e ZUMA-7. A significância estatística das diferenças </w:t>
      </w:r>
      <w:r w:rsidR="00FF775F">
        <w:rPr>
          <w:rFonts w:ascii="Times New Roman" w:hAnsi="Times New Roman" w:cs="Times New Roman"/>
        </w:rPr>
        <w:t xml:space="preserve">nas estimativas celulares e na expressão gênica entre os diferentes desfechos clínicos (no baseline) foi avaliada pelo teste </w:t>
      </w:r>
      <w:r w:rsidR="004E4D65">
        <w:rPr>
          <w:rFonts w:ascii="Times New Roman" w:hAnsi="Times New Roman" w:cs="Times New Roman"/>
        </w:rPr>
        <w:t xml:space="preserve">não-paramétrico de soma de postos de Wilcoxon (Mann-Whitney U) nas coortes </w:t>
      </w:r>
      <w:r w:rsidR="00F308C5">
        <w:rPr>
          <w:rFonts w:ascii="Times New Roman" w:hAnsi="Times New Roman" w:cs="Times New Roman"/>
        </w:rPr>
        <w:t xml:space="preserve">ZUMA-1 e ZUMA-7. Para avaliar a evolução celular longitudinal promovida pela terapia </w:t>
      </w:r>
      <w:r w:rsidR="00F81413">
        <w:rPr>
          <w:rFonts w:ascii="Times New Roman" w:hAnsi="Times New Roman" w:cs="Times New Roman"/>
        </w:rPr>
        <w:t>(amostras pós-CAR-T versus baseline intra-paciente), empregou-se o teste dos postos sinalizados</w:t>
      </w:r>
      <w:r w:rsidR="00E4194E">
        <w:rPr>
          <w:rFonts w:ascii="Times New Roman" w:hAnsi="Times New Roman" w:cs="Times New Roman"/>
        </w:rPr>
        <w:t xml:space="preserve"> de Wilcoxon (Wilcoxon signed-rank test) para amostras pareadas.</w:t>
      </w:r>
    </w:p>
    <w:p w14:paraId="4179D0BC" w14:textId="77777777" w:rsidR="00090C4A" w:rsidRDefault="00090C4A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36B59953" w14:textId="7CBA3CE6" w:rsidR="00090C4A" w:rsidRPr="005D2DD0" w:rsidRDefault="00090C4A" w:rsidP="007D5F2B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5D2DD0">
        <w:rPr>
          <w:rFonts w:ascii="Times New Roman" w:hAnsi="Times New Roman" w:cs="Times New Roman"/>
          <w:b/>
          <w:bCs/>
        </w:rPr>
        <w:t xml:space="preserve">2.4 </w:t>
      </w:r>
      <w:r w:rsidR="00CF4996" w:rsidRPr="005D2DD0">
        <w:rPr>
          <w:rFonts w:ascii="Times New Roman" w:hAnsi="Times New Roman" w:cs="Times New Roman"/>
          <w:b/>
          <w:bCs/>
        </w:rPr>
        <w:t xml:space="preserve">Mapeamento </w:t>
      </w:r>
      <w:r w:rsidR="00D770FE" w:rsidRPr="005D2DD0">
        <w:rPr>
          <w:rFonts w:ascii="Times New Roman" w:hAnsi="Times New Roman" w:cs="Times New Roman"/>
          <w:b/>
          <w:bCs/>
        </w:rPr>
        <w:t>Transcricional dos Mecanismos de Evasão Imunológica</w:t>
      </w:r>
    </w:p>
    <w:p w14:paraId="0E329679" w14:textId="4955EAA8" w:rsidR="00D770FE" w:rsidRDefault="005F7D1C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delinear a arquitetura imunossupressora no microambiente tumoral, foi investigado o perfil transcricional de duas </w:t>
      </w:r>
      <w:r w:rsidR="00010CC5">
        <w:rPr>
          <w:rFonts w:ascii="Times New Roman" w:hAnsi="Times New Roman" w:cs="Times New Roman"/>
        </w:rPr>
        <w:t xml:space="preserve">vias de destaque para a evasão imune ao CAR-T: </w:t>
      </w:r>
      <w:r w:rsidR="00C87255">
        <w:rPr>
          <w:rFonts w:ascii="Times New Roman" w:hAnsi="Times New Roman" w:cs="Times New Roman"/>
        </w:rPr>
        <w:t xml:space="preserve">a assinatura de exaustão de células T e a regulação da maquinaria de apresentação de </w:t>
      </w:r>
      <w:r w:rsidR="00C87255">
        <w:rPr>
          <w:rFonts w:ascii="Times New Roman" w:hAnsi="Times New Roman" w:cs="Times New Roman"/>
        </w:rPr>
        <w:lastRenderedPageBreak/>
        <w:t>antígenos (HLA)</w:t>
      </w:r>
      <w:r w:rsidR="002529F8">
        <w:rPr>
          <w:rFonts w:ascii="Times New Roman" w:hAnsi="Times New Roman" w:cs="Times New Roman"/>
        </w:rPr>
        <w:t>. Para uma avaliação fenotípica</w:t>
      </w:r>
      <w:r w:rsidR="00D82F81">
        <w:rPr>
          <w:rFonts w:ascii="Times New Roman" w:hAnsi="Times New Roman" w:cs="Times New Roman"/>
        </w:rPr>
        <w:t xml:space="preserve"> funcional da integridade de apresentação antigênica, a via do HLA foi categorizada a priori em </w:t>
      </w:r>
      <w:r w:rsidR="00A137A8">
        <w:rPr>
          <w:rFonts w:ascii="Times New Roman" w:hAnsi="Times New Roman" w:cs="Times New Roman"/>
        </w:rPr>
        <w:t>quatro eixos biológicos: (1) moléculas clássicas de Classe I, (2) complexo intracelular</w:t>
      </w:r>
      <w:r w:rsidR="003000CC">
        <w:rPr>
          <w:rFonts w:ascii="Times New Roman" w:hAnsi="Times New Roman" w:cs="Times New Roman"/>
        </w:rPr>
        <w:t xml:space="preserve"> de processamento de antígenos, (3) moléculas clássicas de Classe II e (4) moléculas não -clássicas inibitórias de Classe I.</w:t>
      </w:r>
    </w:p>
    <w:p w14:paraId="08D1F0D3" w14:textId="77777777" w:rsidR="005D2DD0" w:rsidRDefault="005D2DD0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09FC25A6" w14:textId="2A5C3CA6" w:rsidR="005D2DD0" w:rsidRDefault="00FD76C1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FD76C1">
        <w:rPr>
          <w:rFonts w:ascii="Times New Roman" w:hAnsi="Times New Roman" w:cs="Times New Roman"/>
        </w:rPr>
        <w:t>A avaliação transcricional transversal foi conduzida estratificando-se os pacientes com base no desfecho clínico definitivo (Resposta Sustentada versus Falha nas coortes ZUMA-7 Axi-cel e SOC; Resposta Completa [CR] versus Não-CR na coorte ZUMA-1 baseline). De forma complementar, a dinâmica longitudinal da expressão destes marcadores imunossupressores foi quantificada na coorte ZUMA-1, contrastando diretamente o perfil pré-linfodepleção (baseline) com o estado transcricional uma semana após a infusão do CAR-T (pós-CAR-T).</w:t>
      </w:r>
    </w:p>
    <w:p w14:paraId="2E63DC53" w14:textId="77777777" w:rsidR="00B64F1D" w:rsidRDefault="00B64F1D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74D1E4A1" w14:textId="1C97E269" w:rsidR="00B64F1D" w:rsidRDefault="00B64F1D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B64F1D">
        <w:rPr>
          <w:rFonts w:ascii="Times New Roman" w:hAnsi="Times New Roman" w:cs="Times New Roman"/>
        </w:rPr>
        <w:t xml:space="preserve">Para permitir uma análise comparativa e visualização padronizada, as estimativas de expressão (Log2) foram centradas e escalonadas, sendo convertidas em escores padronizados (Z-scores) por gene em relação à média de cada coorte. A representação multidimensional da expressão foi construída por meio de heatmaps utilizando o pacote R </w:t>
      </w:r>
      <w:r w:rsidRPr="00B64F1D">
        <w:rPr>
          <w:rFonts w:ascii="Times New Roman" w:hAnsi="Times New Roman" w:cs="Times New Roman"/>
          <w:highlight w:val="yellow"/>
        </w:rPr>
        <w:t>ComplexHeatmap (v2.14.0)</w:t>
      </w:r>
      <w:r w:rsidRPr="00B64F1D">
        <w:rPr>
          <w:rFonts w:ascii="Times New Roman" w:hAnsi="Times New Roman" w:cs="Times New Roman"/>
        </w:rPr>
        <w:t xml:space="preserve">. Dentro de cada estrato clínico, as amostras (colunas) foram submetidas a uma clusterização hierárquica não supervisionada (distância euclidiana e método de aglomeração de Ward, via pacote </w:t>
      </w:r>
      <w:r w:rsidRPr="00B64F1D">
        <w:rPr>
          <w:rFonts w:ascii="Times New Roman" w:hAnsi="Times New Roman" w:cs="Times New Roman"/>
          <w:highlight w:val="yellow"/>
        </w:rPr>
        <w:t>R stats, v4.2.2</w:t>
      </w:r>
      <w:r w:rsidRPr="00B64F1D">
        <w:rPr>
          <w:rFonts w:ascii="Times New Roman" w:hAnsi="Times New Roman" w:cs="Times New Roman"/>
        </w:rPr>
        <w:t>) para identificar agrupamentos transcricionais latentes.</w:t>
      </w:r>
    </w:p>
    <w:p w14:paraId="2F84DDEF" w14:textId="77777777" w:rsidR="00EC34F9" w:rsidRDefault="00EC34F9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2265D75F" w14:textId="37AAC128" w:rsidR="00EC34F9" w:rsidRDefault="00EC34F9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EC34F9">
        <w:rPr>
          <w:rFonts w:ascii="Times New Roman" w:hAnsi="Times New Roman" w:cs="Times New Roman"/>
        </w:rPr>
        <w:t xml:space="preserve">Por fim, os perfis de expressão foram integrados a metadados de anotação clínica individualizados para cada paciente. Essas anotações superiores (top annotations) permitiram o rastreamento bivariado contínuo entre o perfil de evasão e as seguintes </w:t>
      </w:r>
      <w:r w:rsidRPr="00EC34F9">
        <w:rPr>
          <w:rFonts w:ascii="Times New Roman" w:hAnsi="Times New Roman" w:cs="Times New Roman"/>
        </w:rPr>
        <w:lastRenderedPageBreak/>
        <w:t>variáveis: Resposta Global, Classificação Clínica detalhada, Subgrupo Molecular (Célula de Origem - COO), ocorrência de eventos de sobrevida (EFS) e Carga Tumoral contínua (mapeada em escala logarítmica de cinza).</w:t>
      </w:r>
    </w:p>
    <w:p w14:paraId="6410B63F" w14:textId="77777777" w:rsidR="00060ACD" w:rsidRDefault="00060ACD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458796C" w14:textId="0BE66C4A" w:rsidR="00060ACD" w:rsidRPr="00F2112B" w:rsidRDefault="006C5529" w:rsidP="007D5F2B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F2112B">
        <w:rPr>
          <w:rFonts w:ascii="Times New Roman" w:hAnsi="Times New Roman" w:cs="Times New Roman"/>
          <w:b/>
          <w:bCs/>
        </w:rPr>
        <w:t>2.5 Mapeamento Transcricional Global e Análise de Enriquecimento de Vias</w:t>
      </w:r>
    </w:p>
    <w:p w14:paraId="4DC847B9" w14:textId="1BD4CD70" w:rsidR="006C5529" w:rsidRDefault="002F0054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mapear </w:t>
      </w:r>
      <w:r w:rsidR="00822A69">
        <w:rPr>
          <w:rFonts w:ascii="Times New Roman" w:hAnsi="Times New Roman" w:cs="Times New Roman"/>
        </w:rPr>
        <w:t xml:space="preserve">as diferenças transcricionais globais associadas à falha do Axi-cel pré-infusão, foi conduzido uma Análise de Expressão Diferencial (DEA) utilizando o pacote </w:t>
      </w:r>
      <w:r w:rsidR="00822A69" w:rsidRPr="00724108">
        <w:rPr>
          <w:rFonts w:ascii="Times New Roman" w:hAnsi="Times New Roman" w:cs="Times New Roman"/>
          <w:highlight w:val="yellow"/>
        </w:rPr>
        <w:t>R limma (v3.</w:t>
      </w:r>
      <w:r w:rsidR="00724108" w:rsidRPr="00724108">
        <w:rPr>
          <w:rFonts w:ascii="Times New Roman" w:hAnsi="Times New Roman" w:cs="Times New Roman"/>
          <w:highlight w:val="yellow"/>
        </w:rPr>
        <w:t>54.2)</w:t>
      </w:r>
      <w:r w:rsidR="00724108">
        <w:rPr>
          <w:rFonts w:ascii="Times New Roman" w:hAnsi="Times New Roman" w:cs="Times New Roman"/>
        </w:rPr>
        <w:t xml:space="preserve">. Os contrastes foram estabelecidos comparando-se os grupos de desfecho clínico </w:t>
      </w:r>
      <w:r w:rsidR="00717163">
        <w:rPr>
          <w:rFonts w:ascii="Times New Roman" w:hAnsi="Times New Roman" w:cs="Times New Roman"/>
        </w:rPr>
        <w:t>(baseline) em cada coorte de forma independente</w:t>
      </w:r>
      <w:r w:rsidR="003C1930">
        <w:rPr>
          <w:rFonts w:ascii="Times New Roman" w:hAnsi="Times New Roman" w:cs="Times New Roman"/>
        </w:rPr>
        <w:t xml:space="preserve">: Non-CR versus CR para o ZUMA-1, e Failure versus </w:t>
      </w:r>
      <w:r w:rsidR="00016BF0">
        <w:rPr>
          <w:rFonts w:ascii="Times New Roman" w:hAnsi="Times New Roman" w:cs="Times New Roman"/>
        </w:rPr>
        <w:t xml:space="preserve">Resposta Sustentada para o ZUMA-7. Para fins de exploração </w:t>
      </w:r>
      <w:r w:rsidR="00447E16">
        <w:rPr>
          <w:rFonts w:ascii="Times New Roman" w:hAnsi="Times New Roman" w:cs="Times New Roman"/>
        </w:rPr>
        <w:t xml:space="preserve">de assinaturas e visualização bidimensional (volcano plots), adotou-se um limiar </w:t>
      </w:r>
      <w:r w:rsidR="00BE6F36">
        <w:rPr>
          <w:rFonts w:ascii="Times New Roman" w:hAnsi="Times New Roman" w:cs="Times New Roman"/>
        </w:rPr>
        <w:t xml:space="preserve">heaurístico de significância definido por um valor de p nominal (não ajustado) &lt; 0.05 e uma magnitude de efeito de log2 </w:t>
      </w:r>
      <w:r w:rsidR="005A5B9F">
        <w:rPr>
          <w:rFonts w:ascii="Times New Roman" w:hAnsi="Times New Roman" w:cs="Times New Roman"/>
        </w:rPr>
        <w:t>fold change absoluto &gt; 0.5.</w:t>
      </w:r>
    </w:p>
    <w:p w14:paraId="45462CC7" w14:textId="77777777" w:rsidR="00BA1EFE" w:rsidRDefault="00BA1EFE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439BE132" w14:textId="6A3AAAA0" w:rsidR="00F2112B" w:rsidRDefault="00F2112B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Para traduzir essas alterações gênicas isoladas </w:t>
      </w:r>
      <w:r w:rsidR="00D14287">
        <w:rPr>
          <w:rFonts w:ascii="Times New Roman" w:hAnsi="Times New Roman" w:cs="Times New Roman"/>
        </w:rPr>
        <w:t xml:space="preserve">em programas biológicos funcionais, foram aplicados duas abordagens ortogonais de enriquecimento  de vias baseadas na coleção Hallmark </w:t>
      </w:r>
      <w:r w:rsidR="00AA7A5E">
        <w:rPr>
          <w:rFonts w:ascii="Times New Roman" w:hAnsi="Times New Roman" w:cs="Times New Roman"/>
        </w:rPr>
        <w:t xml:space="preserve">do Molecular Signatures Database (MSigDB). </w:t>
      </w:r>
      <w:r w:rsidR="00110B33" w:rsidRPr="00110B33">
        <w:rPr>
          <w:rFonts w:ascii="Times New Roman" w:hAnsi="Times New Roman" w:cs="Times New Roman"/>
        </w:rPr>
        <w:t>Inicialmente, para capturar a heterogeneidade funcional ao nível do paciente individual, empregamos a Single-Sample Gene Set Enrichment Analysis (ssGSEA) através do pacote R GSVA (v1.46.0).</w:t>
      </w:r>
      <w:r w:rsidR="00FF1F24">
        <w:rPr>
          <w:rFonts w:ascii="Times New Roman" w:hAnsi="Times New Roman" w:cs="Times New Roman"/>
        </w:rPr>
        <w:t xml:space="preserve"> </w:t>
      </w:r>
      <w:r w:rsidR="00FF1F24" w:rsidRPr="00FF1F24">
        <w:rPr>
          <w:rFonts w:ascii="Times New Roman" w:hAnsi="Times New Roman" w:cs="Times New Roman"/>
        </w:rPr>
        <w:t>Os escores de enriquecimento padronizados gerados para cada amostra foram sumarizados através do Escore de Enriquecimento Normalizado Médio (Mean NES), permitindo quantificar a intensidade da atividade biológica (hiperativação versus supressão) em oito categorias funcionais macro (ex: imunidade, proliferação, metabolismo) ao longo dos diferentes estratos clínicos.</w:t>
      </w:r>
    </w:p>
    <w:p w14:paraId="2444957B" w14:textId="77777777" w:rsidR="00FF1F24" w:rsidRDefault="00FF1F24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03B213BE" w14:textId="278393CF" w:rsidR="00FF1F24" w:rsidRDefault="00D93DB6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D93DB6">
        <w:rPr>
          <w:rFonts w:ascii="Times New Roman" w:hAnsi="Times New Roman" w:cs="Times New Roman"/>
        </w:rPr>
        <w:lastRenderedPageBreak/>
        <w:t xml:space="preserve">De forma complementar, para identificar os principais eixos mecanísticos que impulsionam a resistência em nível de coorte, </w:t>
      </w:r>
      <w:r>
        <w:rPr>
          <w:rFonts w:ascii="Times New Roman" w:hAnsi="Times New Roman" w:cs="Times New Roman"/>
        </w:rPr>
        <w:t>foram executados</w:t>
      </w:r>
      <w:r w:rsidRPr="00D93DB6">
        <w:rPr>
          <w:rFonts w:ascii="Times New Roman" w:hAnsi="Times New Roman" w:cs="Times New Roman"/>
        </w:rPr>
        <w:t xml:space="preserve"> a Gene Set Enrichment Analysis</w:t>
      </w:r>
      <w:r>
        <w:rPr>
          <w:rFonts w:ascii="Times New Roman" w:hAnsi="Times New Roman" w:cs="Times New Roman"/>
        </w:rPr>
        <w:t xml:space="preserve"> </w:t>
      </w:r>
      <w:r w:rsidRPr="00D93DB6">
        <w:rPr>
          <w:rFonts w:ascii="Times New Roman" w:hAnsi="Times New Roman" w:cs="Times New Roman"/>
        </w:rPr>
        <w:t xml:space="preserve">(GSEA) com o pacote R </w:t>
      </w:r>
      <w:r w:rsidRPr="00D93DB6">
        <w:rPr>
          <w:rFonts w:ascii="Times New Roman" w:hAnsi="Times New Roman" w:cs="Times New Roman"/>
          <w:highlight w:val="yellow"/>
        </w:rPr>
        <w:t>fgsea (v1.24.0)</w:t>
      </w:r>
      <w:r w:rsidRPr="00D93DB6">
        <w:rPr>
          <w:rFonts w:ascii="Times New Roman" w:hAnsi="Times New Roman" w:cs="Times New Roman"/>
        </w:rPr>
        <w:t>. Os transcritos globais foram ranqueados continuamente com base na estatística de teste do limma. A significância das vias no GSEA canônico foi definida por um valor de p ajustado &lt; 0</w:t>
      </w:r>
      <w:r>
        <w:rPr>
          <w:rFonts w:ascii="Times New Roman" w:hAnsi="Times New Roman" w:cs="Times New Roman"/>
        </w:rPr>
        <w:t>.</w:t>
      </w:r>
      <w:r w:rsidRPr="00D93DB6">
        <w:rPr>
          <w:rFonts w:ascii="Times New Roman" w:hAnsi="Times New Roman" w:cs="Times New Roman"/>
        </w:rPr>
        <w:t>05.</w:t>
      </w:r>
    </w:p>
    <w:p w14:paraId="4802C6DB" w14:textId="77777777" w:rsidR="008B38BB" w:rsidRDefault="008B38BB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B05CA10" w14:textId="07CABA83" w:rsidR="008B38BB" w:rsidRPr="003A4B4A" w:rsidRDefault="0097190C" w:rsidP="007D5F2B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3A4B4A">
        <w:rPr>
          <w:rFonts w:ascii="Times New Roman" w:hAnsi="Times New Roman" w:cs="Times New Roman"/>
          <w:b/>
          <w:bCs/>
        </w:rPr>
        <w:t>2.6 Modelagem Prognóstica e Interações com o Microambiente Tumoral</w:t>
      </w:r>
    </w:p>
    <w:p w14:paraId="356A2B14" w14:textId="16F8E9B3" w:rsidR="00E504D8" w:rsidRDefault="005D3179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5D3179">
        <w:rPr>
          <w:rFonts w:ascii="Times New Roman" w:hAnsi="Times New Roman" w:cs="Times New Roman"/>
        </w:rPr>
        <w:t xml:space="preserve">Para determinar o impacto clínico dos biomarcadores candidatos na eficácia da terapia CAR-T, </w:t>
      </w:r>
      <w:r>
        <w:rPr>
          <w:rFonts w:ascii="Times New Roman" w:hAnsi="Times New Roman" w:cs="Times New Roman"/>
        </w:rPr>
        <w:t>foi conduzido</w:t>
      </w:r>
      <w:r w:rsidRPr="005D3179">
        <w:rPr>
          <w:rFonts w:ascii="Times New Roman" w:hAnsi="Times New Roman" w:cs="Times New Roman"/>
        </w:rPr>
        <w:t xml:space="preserve"> uma modelagem de Sobrevida Livre de Eventos (EFS) focada na coorte ZUMA-7. A avaliação prognóstica foi estruturada em duas abordagens complementares: análise de sobrevida univariada e regressão multivariada ajustada por covariáveis clínicas.</w:t>
      </w:r>
    </w:p>
    <w:p w14:paraId="71CE0BDB" w14:textId="77777777" w:rsidR="005D3179" w:rsidRDefault="005D3179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59B0EB2F" w14:textId="4350ADF2" w:rsidR="00C81F48" w:rsidRDefault="00CB2C28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CB2C28">
        <w:rPr>
          <w:rFonts w:ascii="Times New Roman" w:hAnsi="Times New Roman" w:cs="Times New Roman"/>
        </w:rPr>
        <w:t xml:space="preserve">Inicialmente, a coorte foi dicotomizada em subgrupos de alta e baixa expressão para cada transcrito de interesse, adotando-se o valor da mediana de expressão intra-coorte como ponto de corte padronizado e não enviesado. As funções de sobrevida para a EFS foram estimadas pelo método de Kaplan-Meier, e a significância estatística das divergências entre as curvas foi aferida através do teste de log-rank, empregando os pacotes R </w:t>
      </w:r>
      <w:r w:rsidRPr="00CB2C28">
        <w:rPr>
          <w:rFonts w:ascii="Times New Roman" w:hAnsi="Times New Roman" w:cs="Times New Roman"/>
          <w:highlight w:val="yellow"/>
        </w:rPr>
        <w:t>survival (v3.5-5)</w:t>
      </w:r>
      <w:r w:rsidRPr="00CB2C28">
        <w:rPr>
          <w:rFonts w:ascii="Times New Roman" w:hAnsi="Times New Roman" w:cs="Times New Roman"/>
        </w:rPr>
        <w:t xml:space="preserve"> e </w:t>
      </w:r>
      <w:r w:rsidRPr="00CB2C28">
        <w:rPr>
          <w:rFonts w:ascii="Times New Roman" w:hAnsi="Times New Roman" w:cs="Times New Roman"/>
          <w:highlight w:val="yellow"/>
        </w:rPr>
        <w:t>survminer (v0.4.9)</w:t>
      </w:r>
      <w:r w:rsidRPr="00CB2C28">
        <w:rPr>
          <w:rFonts w:ascii="Times New Roman" w:hAnsi="Times New Roman" w:cs="Times New Roman"/>
        </w:rPr>
        <w:t>.</w:t>
      </w:r>
    </w:p>
    <w:p w14:paraId="5AA959FA" w14:textId="77777777" w:rsidR="002556E8" w:rsidRDefault="002556E8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6DD55C40" w14:textId="18B4C08E" w:rsidR="002556E8" w:rsidRDefault="002556E8" w:rsidP="007D5F2B">
      <w:pPr>
        <w:spacing w:after="0" w:line="480" w:lineRule="auto"/>
        <w:jc w:val="both"/>
        <w:rPr>
          <w:rFonts w:ascii="Times New Roman" w:hAnsi="Times New Roman" w:cs="Times New Roman"/>
        </w:rPr>
      </w:pPr>
      <w:r w:rsidRPr="002556E8">
        <w:rPr>
          <w:rFonts w:ascii="Times New Roman" w:hAnsi="Times New Roman" w:cs="Times New Roman"/>
        </w:rPr>
        <w:t xml:space="preserve">Para </w:t>
      </w:r>
      <w:r>
        <w:rPr>
          <w:rFonts w:ascii="Times New Roman" w:hAnsi="Times New Roman" w:cs="Times New Roman"/>
        </w:rPr>
        <w:t>avaliar</w:t>
      </w:r>
      <w:r w:rsidRPr="002556E8">
        <w:rPr>
          <w:rFonts w:ascii="Times New Roman" w:hAnsi="Times New Roman" w:cs="Times New Roman"/>
        </w:rPr>
        <w:t xml:space="preserve"> o valor prognóstico independente das assinaturas </w:t>
      </w:r>
      <w:r>
        <w:rPr>
          <w:rFonts w:ascii="Times New Roman" w:hAnsi="Times New Roman" w:cs="Times New Roman"/>
        </w:rPr>
        <w:t>gênicas</w:t>
      </w:r>
      <w:r w:rsidRPr="002556E8">
        <w:rPr>
          <w:rFonts w:ascii="Times New Roman" w:hAnsi="Times New Roman" w:cs="Times New Roman"/>
        </w:rPr>
        <w:t xml:space="preserve"> e isolar o seu efeito de fatores de confusão bem estabelecidos no linfoma de grandes células B, </w:t>
      </w:r>
      <w:r>
        <w:rPr>
          <w:rFonts w:ascii="Times New Roman" w:hAnsi="Times New Roman" w:cs="Times New Roman"/>
        </w:rPr>
        <w:t>foram construídos</w:t>
      </w:r>
      <w:r w:rsidRPr="002556E8">
        <w:rPr>
          <w:rFonts w:ascii="Times New Roman" w:hAnsi="Times New Roman" w:cs="Times New Roman"/>
        </w:rPr>
        <w:t xml:space="preserve"> modelos multivariados de regressão de riscos proporcionais de Cox. Neste passo analítico, as estimativas de Razão de Risco (HR) foram ajustadas para a carga tumoral basal (avaliada pela Soma dos Diâmetros Perpendiculares - SPD) e pelo subtipo </w:t>
      </w:r>
      <w:r w:rsidRPr="002556E8">
        <w:rPr>
          <w:rFonts w:ascii="Times New Roman" w:hAnsi="Times New Roman" w:cs="Times New Roman"/>
        </w:rPr>
        <w:lastRenderedPageBreak/>
        <w:t>molecular da doença (Célula de Origem - COO). Sob esta premissa matemática, biomarcadores apresentando HR &gt; 1 com significância estatística foram classificados como fatores de risco, associados a desfechos clínicos adversos, enquanto valores de HR &lt; 1 denotaram um efeito biológico protetor.</w:t>
      </w:r>
    </w:p>
    <w:p w14:paraId="736F60EB" w14:textId="77777777" w:rsidR="00CB2C28" w:rsidRDefault="00CB2C28" w:rsidP="007D5F2B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179BFC67" w14:textId="77777777" w:rsidR="006A1C79" w:rsidRDefault="006A1CDB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6A1CDB">
        <w:rPr>
          <w:rFonts w:ascii="Times New Roman" w:hAnsi="Times New Roman" w:cs="Times New Roman"/>
        </w:rPr>
        <w:t xml:space="preserve">Por fim, para elucidar a dinâmica funcional no ecossistema tumoral, </w:t>
      </w:r>
      <w:r>
        <w:rPr>
          <w:rFonts w:ascii="Times New Roman" w:hAnsi="Times New Roman" w:cs="Times New Roman"/>
        </w:rPr>
        <w:t>foi investigada</w:t>
      </w:r>
      <w:r w:rsidRPr="006A1CDB">
        <w:rPr>
          <w:rFonts w:ascii="Times New Roman" w:hAnsi="Times New Roman" w:cs="Times New Roman"/>
        </w:rPr>
        <w:t xml:space="preserve"> a covariância entre o painel de genes candidatos e a composição celular do microambiente. </w:t>
      </w:r>
      <w:r w:rsidR="00842AB5">
        <w:rPr>
          <w:rFonts w:ascii="Times New Roman" w:hAnsi="Times New Roman" w:cs="Times New Roman"/>
        </w:rPr>
        <w:t>Análises</w:t>
      </w:r>
      <w:r w:rsidRPr="006A1CDB">
        <w:rPr>
          <w:rFonts w:ascii="Times New Roman" w:hAnsi="Times New Roman" w:cs="Times New Roman"/>
        </w:rPr>
        <w:t xml:space="preserve"> de correlação não-paramétrica de Spearman (pacote </w:t>
      </w:r>
      <w:r w:rsidRPr="006A1C79">
        <w:rPr>
          <w:rFonts w:ascii="Times New Roman" w:hAnsi="Times New Roman" w:cs="Times New Roman"/>
          <w:highlight w:val="yellow"/>
        </w:rPr>
        <w:t>R stats, v4.2.2</w:t>
      </w:r>
      <w:r w:rsidRPr="006A1CDB">
        <w:rPr>
          <w:rFonts w:ascii="Times New Roman" w:hAnsi="Times New Roman" w:cs="Times New Roman"/>
        </w:rPr>
        <w:t xml:space="preserve">) </w:t>
      </w:r>
      <w:r w:rsidR="00842AB5">
        <w:rPr>
          <w:rFonts w:ascii="Times New Roman" w:hAnsi="Times New Roman" w:cs="Times New Roman"/>
        </w:rPr>
        <w:t xml:space="preserve">foram realizadas </w:t>
      </w:r>
      <w:r w:rsidRPr="006A1CDB">
        <w:rPr>
          <w:rFonts w:ascii="Times New Roman" w:hAnsi="Times New Roman" w:cs="Times New Roman"/>
        </w:rPr>
        <w:t xml:space="preserve">pareando a expressão contínua de cada gene com as estimativas de abundância absoluta das populações imunes e estromais previamente derivadas do algoritmo MCP-counter. A topologia destas interações foi mapeada em uma matriz de correlação, sendo a força e a significância das associações categorizadas hierarquicamente (* p &lt; 0,05;  p &lt; 0,01; *** p &lt; 0,001) e visualizadas através do pacote </w:t>
      </w:r>
      <w:r w:rsidRPr="006A1C79">
        <w:rPr>
          <w:rFonts w:ascii="Times New Roman" w:hAnsi="Times New Roman" w:cs="Times New Roman"/>
          <w:highlight w:val="yellow"/>
        </w:rPr>
        <w:t>ComplexHeatmap (v2.14.0)</w:t>
      </w:r>
      <w:r w:rsidRPr="006A1CDB">
        <w:rPr>
          <w:rFonts w:ascii="Times New Roman" w:hAnsi="Times New Roman" w:cs="Times New Roman"/>
        </w:rPr>
        <w:t>.</w:t>
      </w:r>
    </w:p>
    <w:p w14:paraId="4172ACC3" w14:textId="77777777" w:rsidR="006A1C79" w:rsidRDefault="006A1C79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014C2BFE" w14:textId="7A18AE7C" w:rsidR="006A1C79" w:rsidRPr="00BC1DF9" w:rsidRDefault="006A1C79" w:rsidP="00CD6EA3">
      <w:pPr>
        <w:spacing w:after="0" w:line="480" w:lineRule="auto"/>
        <w:jc w:val="both"/>
        <w:rPr>
          <w:rFonts w:ascii="Times New Roman" w:hAnsi="Times New Roman" w:cs="Times New Roman"/>
          <w:b/>
          <w:bCs/>
        </w:rPr>
      </w:pPr>
      <w:r w:rsidRPr="00BC1DF9">
        <w:rPr>
          <w:rFonts w:ascii="Times New Roman" w:hAnsi="Times New Roman" w:cs="Times New Roman"/>
          <w:b/>
          <w:bCs/>
        </w:rPr>
        <w:t xml:space="preserve">2.7 </w:t>
      </w:r>
      <w:r w:rsidR="00D47413" w:rsidRPr="00BC1DF9">
        <w:rPr>
          <w:rFonts w:ascii="Times New Roman" w:hAnsi="Times New Roman" w:cs="Times New Roman"/>
          <w:b/>
          <w:bCs/>
        </w:rPr>
        <w:t>Avaliação</w:t>
      </w:r>
      <w:r w:rsidR="00D47413" w:rsidRPr="00BC1DF9">
        <w:rPr>
          <w:rFonts w:ascii="Times New Roman" w:hAnsi="Times New Roman" w:cs="Times New Roman"/>
          <w:b/>
          <w:bCs/>
        </w:rPr>
        <w:t xml:space="preserve"> da Especificidade Terapêutica (Preditiva versus Prognóstica)</w:t>
      </w:r>
    </w:p>
    <w:p w14:paraId="1974AAA5" w14:textId="272BCD39" w:rsidR="00D47413" w:rsidRDefault="00D47413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D47413">
        <w:rPr>
          <w:rFonts w:ascii="Times New Roman" w:hAnsi="Times New Roman" w:cs="Times New Roman"/>
        </w:rPr>
        <w:t xml:space="preserve">Para discriminar se os biomarcadores candidatos possuíam valor preditivo estrito para a eficácia da imunoterapia celular ou se representavam fatores prognósticos gerais intrínsecos à biologia do DLBCL, </w:t>
      </w:r>
      <w:r w:rsidR="00BC1DF9">
        <w:rPr>
          <w:rFonts w:ascii="Times New Roman" w:hAnsi="Times New Roman" w:cs="Times New Roman"/>
        </w:rPr>
        <w:t>foi conduzido</w:t>
      </w:r>
      <w:r w:rsidRPr="00D47413">
        <w:rPr>
          <w:rFonts w:ascii="Times New Roman" w:hAnsi="Times New Roman" w:cs="Times New Roman"/>
        </w:rPr>
        <w:t xml:space="preserve"> uma análise de sobrevida comparativa abrangendo três cenários terapêuticos independentes.</w:t>
      </w:r>
    </w:p>
    <w:p w14:paraId="1ECCDAA8" w14:textId="77777777" w:rsidR="005E410C" w:rsidRDefault="005E410C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49CFA572" w14:textId="6D7882B4" w:rsidR="005E410C" w:rsidRDefault="005E410C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Foi avaliado</w:t>
      </w:r>
      <w:r w:rsidRPr="005E410C">
        <w:rPr>
          <w:rFonts w:ascii="Times New Roman" w:hAnsi="Times New Roman" w:cs="Times New Roman"/>
        </w:rPr>
        <w:t xml:space="preserve"> o impacto clínico da expressão de cada gene na Sobrevida Livre de Eventos (EFS) dos pacientes tratados com Axi-cel (braço experimental do ZUMA-7) e naqueles submetidos à quimioterapia de resgate padrão (braço SOC do ZUMA-7). De forma complementar, para ancorar o impacto biológico no tratamento de primeira linha, </w:t>
      </w:r>
      <w:r>
        <w:rPr>
          <w:rFonts w:ascii="Times New Roman" w:hAnsi="Times New Roman" w:cs="Times New Roman"/>
        </w:rPr>
        <w:t xml:space="preserve">foi </w:t>
      </w:r>
      <w:r>
        <w:rPr>
          <w:rFonts w:ascii="Times New Roman" w:hAnsi="Times New Roman" w:cs="Times New Roman"/>
        </w:rPr>
        <w:lastRenderedPageBreak/>
        <w:t>modelado</w:t>
      </w:r>
      <w:r w:rsidRPr="005E410C">
        <w:rPr>
          <w:rFonts w:ascii="Times New Roman" w:hAnsi="Times New Roman" w:cs="Times New Roman"/>
        </w:rPr>
        <w:t xml:space="preserve"> a Sobrevida Global (OS) na coorte TCGA-DLBC, historicamente tratada com quimioimunoterapia canônica (R-CHOP).</w:t>
      </w:r>
    </w:p>
    <w:p w14:paraId="5F4FCD24" w14:textId="77777777" w:rsidR="001C1775" w:rsidRDefault="001C1775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7E8051B6" w14:textId="25C53F8A" w:rsidR="001C1775" w:rsidRDefault="001C1775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1C1775">
        <w:rPr>
          <w:rFonts w:ascii="Times New Roman" w:hAnsi="Times New Roman" w:cs="Times New Roman"/>
        </w:rPr>
        <w:t xml:space="preserve">Mantendo a padronização analítica adotada no estudo, os pacientes em cada cenário foram categorizados em estratos de alta e baixa expressão utilizando o valor da mediana de expressão intra-coorte para cada gene específico. O seguimento longitudinal (follow-up) foi apresentado em meses para os dados do ZUMA-7 e em dias para o TCGA-DLBC. As funções de probabilidade de sobrevida foram estimadas pelo método de Kaplan-Meier e a divergência entre as curvas foi estatisticamente aferida pelo teste de log-rank (pacotes </w:t>
      </w:r>
      <w:r w:rsidRPr="007F24FD">
        <w:rPr>
          <w:rFonts w:ascii="Times New Roman" w:hAnsi="Times New Roman" w:cs="Times New Roman"/>
          <w:highlight w:val="yellow"/>
        </w:rPr>
        <w:t>R survival v3.5-5</w:t>
      </w:r>
      <w:r w:rsidRPr="001C1775">
        <w:rPr>
          <w:rFonts w:ascii="Times New Roman" w:hAnsi="Times New Roman" w:cs="Times New Roman"/>
        </w:rPr>
        <w:t xml:space="preserve"> e </w:t>
      </w:r>
      <w:r w:rsidRPr="007F24FD">
        <w:rPr>
          <w:rFonts w:ascii="Times New Roman" w:hAnsi="Times New Roman" w:cs="Times New Roman"/>
          <w:highlight w:val="yellow"/>
        </w:rPr>
        <w:t>survminer v0.4.9</w:t>
      </w:r>
      <w:r w:rsidRPr="001C1775">
        <w:rPr>
          <w:rFonts w:ascii="Times New Roman" w:hAnsi="Times New Roman" w:cs="Times New Roman"/>
        </w:rPr>
        <w:t>).</w:t>
      </w:r>
    </w:p>
    <w:p w14:paraId="4062D798" w14:textId="77777777" w:rsidR="007F24FD" w:rsidRDefault="007F24FD" w:rsidP="00CD6EA3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2EBF491F" w14:textId="018FCF11" w:rsidR="007F24FD" w:rsidRDefault="007F24FD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 w:rsidRPr="007F24FD">
        <w:rPr>
          <w:rFonts w:ascii="Times New Roman" w:hAnsi="Times New Roman" w:cs="Times New Roman"/>
        </w:rPr>
        <w:t>O delineamento estatístico adotou uma premissa: a retenção de significância estatística (p &lt; 0,05) restrita exclusivamente à coorte Axi-cel classificaria o transcrito como um</w:t>
      </w:r>
      <w:r w:rsidR="004814A9">
        <w:rPr>
          <w:rFonts w:ascii="Times New Roman" w:hAnsi="Times New Roman" w:cs="Times New Roman"/>
        </w:rPr>
        <w:t xml:space="preserve">  possível</w:t>
      </w:r>
      <w:r w:rsidRPr="007F24FD">
        <w:rPr>
          <w:rFonts w:ascii="Times New Roman" w:hAnsi="Times New Roman" w:cs="Times New Roman"/>
        </w:rPr>
        <w:t xml:space="preserve"> biomarcador preditivo de evasão específica ao CAR-T anti-CD19. Contrastantemente, a significância estatística transversal a múltiplos eixos terapêuticos identificaria alvos com valor prognóstico universal (independente da modalidade de tratamento), permitindo o isolamento de fenômenos oncológicos globais </w:t>
      </w:r>
      <w:r w:rsidR="004814A9">
        <w:rPr>
          <w:rFonts w:ascii="Times New Roman" w:hAnsi="Times New Roman" w:cs="Times New Roman"/>
        </w:rPr>
        <w:t>na</w:t>
      </w:r>
      <w:r w:rsidRPr="007F24FD">
        <w:rPr>
          <w:rFonts w:ascii="Times New Roman" w:hAnsi="Times New Roman" w:cs="Times New Roman"/>
        </w:rPr>
        <w:t xml:space="preserve"> assinatura final.</w:t>
      </w:r>
    </w:p>
    <w:p w14:paraId="280729C1" w14:textId="0564A64B" w:rsidR="006B2A9E" w:rsidRDefault="006B2A9E" w:rsidP="00CD6EA3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="001334A8">
        <w:rPr>
          <w:rFonts w:ascii="Times New Roman" w:hAnsi="Times New Roman" w:cs="Times New Roman"/>
        </w:rPr>
        <w:lastRenderedPageBreak/>
        <w:t>2.2</w:t>
      </w:r>
    </w:p>
    <w:p w14:paraId="6421C323" w14:textId="12A18F35" w:rsidR="006B2A9E" w:rsidRDefault="006B2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AFF9F99" w14:textId="2E0F427F" w:rsidR="004772B8" w:rsidRDefault="006B2A9E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Referências</w:t>
      </w:r>
    </w:p>
    <w:p w14:paraId="6ADB85DD" w14:textId="6999FAD2" w:rsidR="006B2A9E" w:rsidRDefault="006B2A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3848EB" w14:textId="0E9E370F" w:rsidR="006B2A9E" w:rsidRDefault="004D41C2" w:rsidP="00855F70">
      <w:pPr>
        <w:spacing w:after="0" w:line="48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Figure Legends</w:t>
      </w:r>
    </w:p>
    <w:p w14:paraId="7633A894" w14:textId="77777777" w:rsidR="004D41C2" w:rsidRDefault="004D41C2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p w14:paraId="4C80CBA1" w14:textId="77777777" w:rsidR="004D41C2" w:rsidRPr="004772B8" w:rsidRDefault="004D41C2" w:rsidP="00855F70">
      <w:pPr>
        <w:spacing w:after="0" w:line="480" w:lineRule="auto"/>
        <w:jc w:val="both"/>
        <w:rPr>
          <w:rFonts w:ascii="Times New Roman" w:hAnsi="Times New Roman" w:cs="Times New Roman"/>
        </w:rPr>
      </w:pPr>
    </w:p>
    <w:sectPr w:rsidR="004D41C2" w:rsidRPr="004772B8" w:rsidSect="004772B8">
      <w:pgSz w:w="11906" w:h="16838"/>
      <w:pgMar w:top="1417" w:right="1701" w:bottom="1417" w:left="1701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2B8"/>
    <w:rsid w:val="00010CC5"/>
    <w:rsid w:val="00012DC6"/>
    <w:rsid w:val="00016BF0"/>
    <w:rsid w:val="00060ACD"/>
    <w:rsid w:val="00090C4A"/>
    <w:rsid w:val="000A38F5"/>
    <w:rsid w:val="000B7264"/>
    <w:rsid w:val="000C549A"/>
    <w:rsid w:val="00110B33"/>
    <w:rsid w:val="001334A8"/>
    <w:rsid w:val="00181890"/>
    <w:rsid w:val="001C1775"/>
    <w:rsid w:val="002019F0"/>
    <w:rsid w:val="002523A8"/>
    <w:rsid w:val="002529F8"/>
    <w:rsid w:val="002556E8"/>
    <w:rsid w:val="002F0054"/>
    <w:rsid w:val="003000CC"/>
    <w:rsid w:val="00316979"/>
    <w:rsid w:val="003329D1"/>
    <w:rsid w:val="003933FD"/>
    <w:rsid w:val="003A4B4A"/>
    <w:rsid w:val="003C1930"/>
    <w:rsid w:val="00447E16"/>
    <w:rsid w:val="0045217D"/>
    <w:rsid w:val="004772B8"/>
    <w:rsid w:val="004814A9"/>
    <w:rsid w:val="004C4438"/>
    <w:rsid w:val="004D41C2"/>
    <w:rsid w:val="004E4D65"/>
    <w:rsid w:val="005A5B9F"/>
    <w:rsid w:val="005D2DD0"/>
    <w:rsid w:val="005D3179"/>
    <w:rsid w:val="005E410C"/>
    <w:rsid w:val="005F7D1C"/>
    <w:rsid w:val="006A1C79"/>
    <w:rsid w:val="006A1CDB"/>
    <w:rsid w:val="006A323C"/>
    <w:rsid w:val="006A742B"/>
    <w:rsid w:val="006B2A9E"/>
    <w:rsid w:val="006C5529"/>
    <w:rsid w:val="006D499B"/>
    <w:rsid w:val="00717163"/>
    <w:rsid w:val="00724108"/>
    <w:rsid w:val="00724CF8"/>
    <w:rsid w:val="00771A95"/>
    <w:rsid w:val="007D5F2B"/>
    <w:rsid w:val="007E3E9D"/>
    <w:rsid w:val="007F24FD"/>
    <w:rsid w:val="00822A69"/>
    <w:rsid w:val="00842AB5"/>
    <w:rsid w:val="00855F70"/>
    <w:rsid w:val="008B38BB"/>
    <w:rsid w:val="008D3019"/>
    <w:rsid w:val="008F353B"/>
    <w:rsid w:val="0097190C"/>
    <w:rsid w:val="009772CF"/>
    <w:rsid w:val="00980575"/>
    <w:rsid w:val="00A137A8"/>
    <w:rsid w:val="00A43C04"/>
    <w:rsid w:val="00AA7A5E"/>
    <w:rsid w:val="00AF43F6"/>
    <w:rsid w:val="00B03375"/>
    <w:rsid w:val="00B22234"/>
    <w:rsid w:val="00B55467"/>
    <w:rsid w:val="00B64F1D"/>
    <w:rsid w:val="00B76B9B"/>
    <w:rsid w:val="00BA1EFE"/>
    <w:rsid w:val="00BC1DF9"/>
    <w:rsid w:val="00BE6F36"/>
    <w:rsid w:val="00C700B1"/>
    <w:rsid w:val="00C81F48"/>
    <w:rsid w:val="00C87255"/>
    <w:rsid w:val="00CB2C28"/>
    <w:rsid w:val="00CD19C8"/>
    <w:rsid w:val="00CD6EA3"/>
    <w:rsid w:val="00CF4996"/>
    <w:rsid w:val="00D01F48"/>
    <w:rsid w:val="00D14287"/>
    <w:rsid w:val="00D314C4"/>
    <w:rsid w:val="00D47413"/>
    <w:rsid w:val="00D770FE"/>
    <w:rsid w:val="00D82F81"/>
    <w:rsid w:val="00D93DB6"/>
    <w:rsid w:val="00E168B5"/>
    <w:rsid w:val="00E4194E"/>
    <w:rsid w:val="00E504D8"/>
    <w:rsid w:val="00EC34F9"/>
    <w:rsid w:val="00F2112B"/>
    <w:rsid w:val="00F308C5"/>
    <w:rsid w:val="00F81413"/>
    <w:rsid w:val="00FD76C1"/>
    <w:rsid w:val="00FF1F24"/>
    <w:rsid w:val="00FF7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C9EB9"/>
  <w15:chartTrackingRefBased/>
  <w15:docId w15:val="{518EEE28-BDC4-4CEC-9A0F-921244C3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7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7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72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7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7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7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7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7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7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7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7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7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72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72B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72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72B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72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72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7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7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7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72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7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72B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72B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72B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7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72B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72B8"/>
    <w:rPr>
      <w:b/>
      <w:bCs/>
      <w:smallCaps/>
      <w:color w:val="0F4761" w:themeColor="accent1" w:themeShade="BF"/>
      <w:spacing w:val="5"/>
    </w:rPr>
  </w:style>
  <w:style w:type="character" w:styleId="Nmerodelinha">
    <w:name w:val="line number"/>
    <w:basedOn w:val="Fontepargpadro"/>
    <w:uiPriority w:val="99"/>
    <w:semiHidden/>
    <w:unhideWhenUsed/>
    <w:rsid w:val="004772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A0F4CF-0EDC-435C-871E-88E4C6941A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397</TotalTime>
  <Pages>13</Pages>
  <Words>1809</Words>
  <Characters>11130</Characters>
  <Application>Microsoft Office Word</Application>
  <DocSecurity>0</DocSecurity>
  <Lines>218</Lines>
  <Paragraphs>34</Paragraphs>
  <ScaleCrop>false</ScaleCrop>
  <Company/>
  <LinksUpToDate>false</LinksUpToDate>
  <CharactersWithSpaces>12905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Resende</dc:creator>
  <cp:keywords/>
  <dc:description/>
  <cp:lastModifiedBy>Jean Resende</cp:lastModifiedBy>
  <cp:revision>92</cp:revision>
  <dcterms:created xsi:type="dcterms:W3CDTF">2026-07-25T20:28:00Z</dcterms:created>
  <dcterms:modified xsi:type="dcterms:W3CDTF">2026-07-27T18:25:00Z</dcterms:modified>
</cp:coreProperties>
</file>