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CE9F" w14:textId="46436CD0" w:rsidR="00A32665" w:rsidRDefault="00A32665" w:rsidP="00316F71">
      <w:pPr>
        <w:spacing w:after="0" w:line="240" w:lineRule="auto"/>
        <w:jc w:val="center"/>
        <w:rPr>
          <w:rFonts w:ascii="Times New Roman" w:hAnsi="Times New Roman" w:cs="Times New Roman"/>
          <w:b/>
          <w:bCs/>
          <w:lang w:val="en-US"/>
        </w:rPr>
      </w:pPr>
      <w:r w:rsidRPr="00A32665">
        <w:rPr>
          <w:rFonts w:ascii="Times New Roman" w:hAnsi="Times New Roman" w:cs="Times New Roman"/>
          <w:b/>
          <w:bCs/>
          <w:lang w:val="en-US"/>
        </w:rPr>
        <w:t>CAR-T response in DLBCL is shaped by the immune tumor microenvironment: integrative transcriptomic evidence</w:t>
      </w:r>
    </w:p>
    <w:p w14:paraId="4348B423" w14:textId="77777777" w:rsidR="00316F71" w:rsidRPr="00A32665" w:rsidRDefault="00316F71" w:rsidP="00316F71">
      <w:pPr>
        <w:spacing w:after="0" w:line="240" w:lineRule="auto"/>
        <w:jc w:val="center"/>
        <w:rPr>
          <w:rFonts w:ascii="Times New Roman" w:hAnsi="Times New Roman" w:cs="Times New Roman"/>
          <w:b/>
          <w:bCs/>
          <w:lang w:val="en-US"/>
        </w:rPr>
      </w:pPr>
    </w:p>
    <w:p w14:paraId="087C1535" w14:textId="1A17EA61" w:rsidR="00A32665" w:rsidRPr="00A32665" w:rsidRDefault="00A32665" w:rsidP="002D68B7">
      <w:pPr>
        <w:spacing w:after="0" w:line="240" w:lineRule="auto"/>
        <w:jc w:val="center"/>
        <w:rPr>
          <w:rFonts w:ascii="Times New Roman" w:hAnsi="Times New Roman" w:cs="Times New Roman"/>
        </w:rPr>
      </w:pPr>
      <w:r w:rsidRPr="00A32665">
        <w:rPr>
          <w:rFonts w:ascii="Times New Roman" w:hAnsi="Times New Roman" w:cs="Times New Roman"/>
        </w:rPr>
        <w:t>Jean Silva de Souza Resende</w:t>
      </w:r>
      <w:r w:rsidRPr="00A32665">
        <w:rPr>
          <w:rFonts w:ascii="Times New Roman" w:hAnsi="Times New Roman" w:cs="Times New Roman"/>
          <w:vertAlign w:val="superscript"/>
        </w:rPr>
        <w:t>1,2,3</w:t>
      </w:r>
      <w:r w:rsidRPr="00A32665">
        <w:rPr>
          <w:rFonts w:ascii="Times New Roman" w:hAnsi="Times New Roman" w:cs="Times New Roman"/>
        </w:rPr>
        <w:t>, Igor Samesima Giner</w:t>
      </w:r>
      <w:r w:rsidRPr="00A32665">
        <w:rPr>
          <w:rFonts w:ascii="Times New Roman" w:hAnsi="Times New Roman" w:cs="Times New Roman"/>
          <w:vertAlign w:val="superscript"/>
        </w:rPr>
        <w:t>1,2</w:t>
      </w:r>
      <w:r w:rsidRPr="00A32665">
        <w:rPr>
          <w:rFonts w:ascii="Times New Roman" w:hAnsi="Times New Roman" w:cs="Times New Roman"/>
        </w:rPr>
        <w:t>, Maria Gabriela Custódio Figueiredo</w:t>
      </w:r>
      <w:r w:rsidRPr="00A32665">
        <w:rPr>
          <w:rFonts w:ascii="Times New Roman" w:hAnsi="Times New Roman" w:cs="Times New Roman"/>
          <w:vertAlign w:val="superscript"/>
        </w:rPr>
        <w:t>1</w:t>
      </w:r>
      <w:r w:rsidRPr="00A32665">
        <w:rPr>
          <w:rFonts w:ascii="Times New Roman" w:hAnsi="Times New Roman" w:cs="Times New Roman"/>
        </w:rPr>
        <w:t>, Mariana Martins Paraízo</w:t>
      </w:r>
      <w:r w:rsidRPr="00A32665">
        <w:rPr>
          <w:rFonts w:ascii="Times New Roman" w:hAnsi="Times New Roman" w:cs="Times New Roman"/>
          <w:vertAlign w:val="superscript"/>
        </w:rPr>
        <w:t>1</w:t>
      </w:r>
      <w:r w:rsidRPr="00A32665">
        <w:rPr>
          <w:rFonts w:ascii="Times New Roman" w:hAnsi="Times New Roman" w:cs="Times New Roman"/>
        </w:rPr>
        <w:t>, Enzo Lalli</w:t>
      </w:r>
      <w:r w:rsidRPr="00A32665">
        <w:rPr>
          <w:rFonts w:ascii="Times New Roman" w:hAnsi="Times New Roman" w:cs="Times New Roman"/>
          <w:vertAlign w:val="superscript"/>
        </w:rPr>
        <w:t>4</w:t>
      </w:r>
      <w:r w:rsidRPr="00A32665">
        <w:rPr>
          <w:rFonts w:ascii="Times New Roman" w:hAnsi="Times New Roman" w:cs="Times New Roman"/>
        </w:rPr>
        <w:t>, Mauro Antônio Alves Castro</w:t>
      </w:r>
      <w:r w:rsidRPr="00A32665">
        <w:rPr>
          <w:rFonts w:ascii="Times New Roman" w:hAnsi="Times New Roman" w:cs="Times New Roman"/>
          <w:vertAlign w:val="superscript"/>
        </w:rPr>
        <w:t>3</w:t>
      </w:r>
      <w:r w:rsidRPr="00A32665">
        <w:rPr>
          <w:rFonts w:ascii="Times New Roman" w:hAnsi="Times New Roman" w:cs="Times New Roman"/>
        </w:rPr>
        <w:t>, Bonald Cavalcante de Figueiredo</w:t>
      </w:r>
      <w:r w:rsidRPr="00A32665">
        <w:rPr>
          <w:rFonts w:ascii="Times New Roman" w:hAnsi="Times New Roman" w:cs="Times New Roman"/>
          <w:vertAlign w:val="superscript"/>
        </w:rPr>
        <w:t>1,2</w:t>
      </w:r>
      <w:r w:rsidRPr="00A32665">
        <w:rPr>
          <w:rFonts w:ascii="Times New Roman" w:hAnsi="Times New Roman" w:cs="Times New Roman"/>
        </w:rPr>
        <w:t>*</w:t>
      </w:r>
    </w:p>
    <w:p w14:paraId="2E85A52F" w14:textId="77777777" w:rsidR="00A32665" w:rsidRPr="00A32665" w:rsidRDefault="00A32665" w:rsidP="00A32665">
      <w:pPr>
        <w:spacing w:after="0" w:line="240" w:lineRule="auto"/>
        <w:jc w:val="both"/>
        <w:rPr>
          <w:rFonts w:ascii="Times New Roman" w:hAnsi="Times New Roman" w:cs="Times New Roman"/>
        </w:rPr>
      </w:pPr>
    </w:p>
    <w:p w14:paraId="76E3C380"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1 Instituto de Pesquisa Pelé Pequeno Príncipe, Curitiba, PR 80250-060, Brazil</w:t>
      </w:r>
    </w:p>
    <w:p w14:paraId="1AD0045B"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2 Faculdades Pequeno Príncipe, Curitiba, PR, 80230-020, Brazil.</w:t>
      </w:r>
    </w:p>
    <w:p w14:paraId="3943DE77"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3 Bioinformatics and Systems Biology Laboratory, Federal University of Paraná, Curitiba, PR 81520-260, Brazil</w:t>
      </w:r>
    </w:p>
    <w:p w14:paraId="7BBA590A" w14:textId="77777777" w:rsidR="002D68B7"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4 Institut de Pharmacologie Moléculaire et Cellulaire CNRS UMR7275, Inserm U1323, Université Côte d’Azur, 06560 Valbonne, France</w:t>
      </w:r>
    </w:p>
    <w:p w14:paraId="0375A060" w14:textId="77777777" w:rsidR="00316F71" w:rsidRPr="00316F71" w:rsidRDefault="00316F71" w:rsidP="00316F71">
      <w:pPr>
        <w:spacing w:after="0" w:line="240" w:lineRule="auto"/>
        <w:jc w:val="both"/>
        <w:rPr>
          <w:rFonts w:ascii="Times New Roman" w:hAnsi="Times New Roman" w:cs="Times New Roman"/>
          <w:i/>
          <w:iCs/>
          <w:sz w:val="22"/>
          <w:szCs w:val="22"/>
          <w:lang w:val="en-US"/>
        </w:rPr>
      </w:pPr>
    </w:p>
    <w:p w14:paraId="36F6BE5C"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*Corresponding Authors:</w:t>
      </w:r>
    </w:p>
    <w:p w14:paraId="2CA0EB59" w14:textId="32F18E4A" w:rsidR="00A32665"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bonaldf@yahoo.com.br; bonald.figueiredo@professor.fpp.edu.br (B.C.F.)</w:t>
      </w:r>
    </w:p>
    <w:p w14:paraId="0A9A0196" w14:textId="77777777" w:rsidR="002D68B7" w:rsidRDefault="002D68B7" w:rsidP="00296070">
      <w:pPr>
        <w:spacing w:after="0" w:line="240" w:lineRule="auto"/>
        <w:jc w:val="both"/>
        <w:rPr>
          <w:rFonts w:ascii="Times New Roman" w:hAnsi="Times New Roman" w:cs="Times New Roman"/>
          <w:lang w:val="en-US"/>
        </w:rPr>
      </w:pPr>
    </w:p>
    <w:p w14:paraId="5EA881D5" w14:textId="5C184625" w:rsidR="00296070" w:rsidRDefault="00296070" w:rsidP="00296070">
      <w:pPr>
        <w:spacing w:after="0" w:line="240" w:lineRule="auto"/>
        <w:jc w:val="both"/>
        <w:rPr>
          <w:rFonts w:ascii="Times New Roman" w:hAnsi="Times New Roman" w:cs="Times New Roman"/>
          <w:b/>
          <w:bCs/>
        </w:rPr>
      </w:pPr>
      <w:r>
        <w:rPr>
          <w:rFonts w:ascii="Times New Roman" w:hAnsi="Times New Roman" w:cs="Times New Roman"/>
          <w:b/>
          <w:bCs/>
        </w:rPr>
        <w:t>Abstract</w:t>
      </w:r>
    </w:p>
    <w:p w14:paraId="7FE2C5B6" w14:textId="77777777" w:rsidR="00296070" w:rsidRDefault="00296070" w:rsidP="00296070">
      <w:pPr>
        <w:spacing w:after="0" w:line="240" w:lineRule="auto"/>
        <w:jc w:val="both"/>
        <w:rPr>
          <w:rFonts w:ascii="Times New Roman" w:hAnsi="Times New Roman" w:cs="Times New Roman"/>
          <w:b/>
          <w:bCs/>
        </w:rPr>
      </w:pPr>
    </w:p>
    <w:p w14:paraId="55653416" w14:textId="4E40E646"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Background:</w:t>
      </w:r>
      <w:r w:rsidRPr="00296070">
        <w:rPr>
          <w:rFonts w:ascii="Times New Roman" w:hAnsi="Times New Roman" w:cs="Times New Roman"/>
          <w:sz w:val="20"/>
          <w:szCs w:val="20"/>
          <w:lang w:val="en-US"/>
        </w:rPr>
        <w:t xml:space="preserve"> Anti-CD19 CAR T-cell therapy (Axi-cel) has transformed the treatment landscape for relapsed or refractory diffuse large B-cell lymphoma (DLBCL). However, a substantial proportion of patients fail to achieve durable responses. Although target antigen escape is well-described, therapeutic failure frequently occurs in tumors retaining positive CD19 expression. This study aimed to investigate the intrinsic and microenvironmental transcriptomic determinants of resistance to Axi-cel.</w:t>
      </w:r>
    </w:p>
    <w:p w14:paraId="67088F0A" w14:textId="01762467"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Methods:</w:t>
      </w:r>
      <w:r w:rsidRPr="00296070">
        <w:rPr>
          <w:rFonts w:ascii="Times New Roman" w:hAnsi="Times New Roman" w:cs="Times New Roman"/>
          <w:sz w:val="20"/>
          <w:szCs w:val="20"/>
          <w:lang w:val="en-US"/>
        </w:rPr>
        <w:t xml:space="preserve"> We performed an integrative analysis of targeted gene expression data (tumor microenvironment panels) from the pivotal ZUMA-1 and ZUMA-7 clinical trial cohorts. Evasion mechanisms were identified through differential gene expression, pathway enrichment analysis, and survival modeling. Predictive specificity and signature independence were orthogonally validated by cross-evaluating Axi-cel arms, standard-of-care salvage chemotherapy (ZUMA-7 SOC), and an independent first-line cohort (TCGA-DLBC).</w:t>
      </w:r>
    </w:p>
    <w:p w14:paraId="79F8E290" w14:textId="6AC5D3CD"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Results:</w:t>
      </w:r>
      <w:r w:rsidRPr="00296070">
        <w:rPr>
          <w:rFonts w:ascii="Times New Roman" w:hAnsi="Times New Roman" w:cs="Times New Roman"/>
          <w:sz w:val="20"/>
          <w:szCs w:val="20"/>
          <w:lang w:val="en-US"/>
        </w:rPr>
        <w:t xml:space="preserve"> Transcriptomic mapping revealed that baseline T-cell exhaustion signatures and global HLA downregulation fail to independently stratify response to Axi-cel. Therapeutic sensitivity relied heavily on the overall preservation of B-cell lineage phenotypic integrity (CD19, MS4A1, TNFRSF17) and signaling competence (IRF8). Conversely, early CAR T-cell escape was governed by tumor dedifferentiation, epithelial-mesenchymal transition (EMT), and altered cellular adhesion (mediated by CDH2 and NCAM1), alongside immune exclusion (CCL20). Orthogonal validation confirmed that the markers comprising this risk profile were largely specific to cellular immunotherapy failure, with the exception of WNT11, which emerged as a transversal pan-prognostic marker of baseline </w:t>
      </w:r>
      <w:r w:rsidRPr="00296070">
        <w:rPr>
          <w:rFonts w:ascii="Times New Roman" w:hAnsi="Times New Roman" w:cs="Times New Roman"/>
          <w:sz w:val="20"/>
          <w:szCs w:val="20"/>
          <w:lang w:val="en-US"/>
        </w:rPr>
        <w:t>hyper aggressiveness</w:t>
      </w:r>
      <w:r w:rsidRPr="00296070">
        <w:rPr>
          <w:rFonts w:ascii="Times New Roman" w:hAnsi="Times New Roman" w:cs="Times New Roman"/>
          <w:sz w:val="20"/>
          <w:szCs w:val="20"/>
          <w:lang w:val="en-US"/>
        </w:rPr>
        <w:t>. Cellular deconvolution ratified that intrinsic transcriptional states override the bulk abundance of infiltrating immune cells in dictating clinical outcomes.</w:t>
      </w:r>
    </w:p>
    <w:p w14:paraId="39EBC396" w14:textId="13A75ADF" w:rsidR="00A32665" w:rsidRPr="00296070" w:rsidRDefault="00296070" w:rsidP="00296070">
      <w:pPr>
        <w:spacing w:after="0" w:line="240" w:lineRule="auto"/>
        <w:jc w:val="both"/>
        <w:rPr>
          <w:rFonts w:ascii="Times New Roman" w:hAnsi="Times New Roman" w:cs="Times New Roman"/>
          <w:lang w:val="en-US"/>
        </w:rPr>
      </w:pPr>
      <w:r w:rsidRPr="00296070">
        <w:rPr>
          <w:rFonts w:ascii="Times New Roman" w:hAnsi="Times New Roman" w:cs="Times New Roman"/>
          <w:b/>
          <w:bCs/>
          <w:sz w:val="20"/>
          <w:szCs w:val="20"/>
          <w:lang w:val="en-US"/>
        </w:rPr>
        <w:t>Conclusions:</w:t>
      </w:r>
      <w:r w:rsidRPr="00296070">
        <w:rPr>
          <w:rFonts w:ascii="Times New Roman" w:hAnsi="Times New Roman" w:cs="Times New Roman"/>
          <w:sz w:val="20"/>
          <w:szCs w:val="20"/>
          <w:lang w:val="en-US"/>
        </w:rPr>
        <w:t xml:space="preserve"> Early resistance to Axi-cel in DLBCL does not stem simply from classical immune deprivation, but results from malignant clone phenotypic plasticity, loss of lymphoid identity, and aberrant tissue remodeling programs. Characterizing these evasion pathways establishes a solid framework for pre-treatment risk stratification and uncovers promising biological targets for combination therapies designed to overcome tumor microenvironment refractoriness.</w:t>
      </w:r>
    </w:p>
    <w:p w14:paraId="03684BB5" w14:textId="43931B0A" w:rsidR="00EE1B9D" w:rsidRPr="002D68B7" w:rsidRDefault="00A32665" w:rsidP="002D68B7">
      <w:pPr>
        <w:spacing w:line="240" w:lineRule="auto"/>
        <w:rPr>
          <w:rFonts w:ascii="Times New Roman" w:hAnsi="Times New Roman" w:cs="Times New Roman"/>
          <w:b/>
          <w:bCs/>
          <w:lang w:val="en-US"/>
        </w:rPr>
      </w:pPr>
      <w:r w:rsidRPr="00296070">
        <w:rPr>
          <w:rFonts w:ascii="Times New Roman" w:hAnsi="Times New Roman" w:cs="Times New Roman"/>
          <w:b/>
          <w:bCs/>
          <w:lang w:val="en-US"/>
        </w:rPr>
        <w:br w:type="page"/>
      </w:r>
      <w:r w:rsidR="00E93D1A">
        <w:rPr>
          <w:rFonts w:ascii="Times New Roman" w:hAnsi="Times New Roman" w:cs="Times New Roman"/>
          <w:b/>
          <w:bCs/>
          <w:lang w:val="en-US"/>
        </w:rPr>
        <w:lastRenderedPageBreak/>
        <w:t>Introduction</w:t>
      </w:r>
    </w:p>
    <w:p w14:paraId="05BB969B" w14:textId="77777777" w:rsidR="00EE1B9D" w:rsidRPr="00EE1B9D" w:rsidRDefault="00EE1B9D" w:rsidP="00855F70">
      <w:pPr>
        <w:spacing w:after="0" w:line="480" w:lineRule="auto"/>
        <w:jc w:val="both"/>
        <w:rPr>
          <w:rFonts w:ascii="Times New Roman" w:hAnsi="Times New Roman" w:cs="Times New Roman"/>
          <w:lang w:val="en-US"/>
        </w:rPr>
      </w:pPr>
    </w:p>
    <w:p w14:paraId="39A339B8" w14:textId="77777777"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Diffuse large B-cell lymphoma (DLBCL) is the most common aggressive non-Hodgkin lymphoma in adults, characterized by marked biological and clinical heterogeneity. Despite major advances achieved with first-line rituximab-based chemoimmunotherapy (R-CHOP), approximately 30% to 40% of patients develop relapsed or refractory (r/r) disease, a clinical scenario historically associated with a dismal prognosis and limited therapeutic options (</w:t>
      </w:r>
      <w:r w:rsidRPr="00987498">
        <w:rPr>
          <w:rFonts w:ascii="Times New Roman" w:hAnsi="Times New Roman" w:cs="Times New Roman"/>
          <w:highlight w:val="yellow"/>
          <w:lang w:val="en-US"/>
        </w:rPr>
        <w:t>Crump et al., 2017; Sehn and Salles, 2021</w:t>
      </w:r>
      <w:r w:rsidRPr="004A642B">
        <w:rPr>
          <w:rFonts w:ascii="Times New Roman" w:hAnsi="Times New Roman" w:cs="Times New Roman"/>
          <w:lang w:val="en-US"/>
        </w:rPr>
        <w:t>). In this salvage setting, chimeric antigen receptor (CAR) T-cell therapy targeting CD19, such as axicabtagene ciloleucel (Axi-cel), has emerged as a transformative strategy, inducing durable remissions in a subset of pretreated patients (</w:t>
      </w:r>
      <w:r w:rsidRPr="00987498">
        <w:rPr>
          <w:rFonts w:ascii="Times New Roman" w:hAnsi="Times New Roman" w:cs="Times New Roman"/>
          <w:highlight w:val="yellow"/>
          <w:lang w:val="en-US"/>
        </w:rPr>
        <w:t>Locke et al., 2022; Neelapu et al., 2017</w:t>
      </w:r>
      <w:r w:rsidRPr="004A642B">
        <w:rPr>
          <w:rFonts w:ascii="Times New Roman" w:hAnsi="Times New Roman" w:cs="Times New Roman"/>
          <w:lang w:val="en-US"/>
        </w:rPr>
        <w:t>).</w:t>
      </w:r>
    </w:p>
    <w:p w14:paraId="36E7CF21" w14:textId="77777777" w:rsidR="004A642B" w:rsidRDefault="004A642B" w:rsidP="00A85184">
      <w:pPr>
        <w:spacing w:after="0" w:line="480" w:lineRule="auto"/>
        <w:ind w:firstLine="709"/>
        <w:jc w:val="both"/>
        <w:rPr>
          <w:rFonts w:ascii="Times New Roman" w:hAnsi="Times New Roman" w:cs="Times New Roman"/>
        </w:rPr>
      </w:pPr>
      <w:r w:rsidRPr="004A642B">
        <w:rPr>
          <w:rFonts w:ascii="Times New Roman" w:hAnsi="Times New Roman" w:cs="Times New Roman"/>
          <w:lang w:val="en-US"/>
        </w:rPr>
        <w:t>However, even among patients treated with Axi-cel, a substantial proportion fail to achieve sustained complete responses or experience early post-CAR-T relapse. Although antigen escape through CD19 loss has been described, progression frequently occurs in tumors that maintain target expression, indicating that Axi-cel resistance is driven by non-antigenic mechanisms (</w:t>
      </w:r>
      <w:r w:rsidRPr="00987498">
        <w:rPr>
          <w:rFonts w:ascii="Times New Roman" w:hAnsi="Times New Roman" w:cs="Times New Roman"/>
          <w:highlight w:val="yellow"/>
          <w:lang w:val="en-US"/>
        </w:rPr>
        <w:t>Jain et al., 2021; Majzner et al., 2018</w:t>
      </w:r>
      <w:r w:rsidRPr="004A642B">
        <w:rPr>
          <w:rFonts w:ascii="Times New Roman" w:hAnsi="Times New Roman" w:cs="Times New Roman"/>
          <w:lang w:val="en-US"/>
        </w:rPr>
        <w:t xml:space="preserve">). </w:t>
      </w:r>
      <w:r w:rsidRPr="004A642B">
        <w:rPr>
          <w:rFonts w:ascii="Times New Roman" w:hAnsi="Times New Roman" w:cs="Times New Roman"/>
        </w:rPr>
        <w:t>These observations support a model in which therapeutic resistance is predominantly governed by a complex interplay between tumor-intrinsic functional programs and the tumor microenvironment (TME).</w:t>
      </w:r>
    </w:p>
    <w:p w14:paraId="57ADA152" w14:textId="77777777" w:rsidR="004A642B"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In classical tumor immunology, immune evasion is frequently attributed to pre-existing T-cell exhaustion and the downregulation of antigen presentation machinery (HLA). However, while pathways such as PD-1/PD-L1 signaling are critical for post-infusion adaptive resistance, global baseline exhaustion signatures frequently fail to independently stratify CAR T-cell efficacy (</w:t>
      </w:r>
      <w:r w:rsidRPr="00987498">
        <w:rPr>
          <w:rFonts w:ascii="Times New Roman" w:hAnsi="Times New Roman" w:cs="Times New Roman"/>
          <w:highlight w:val="yellow"/>
          <w:lang w:val="en-US"/>
        </w:rPr>
        <w:t>Chong et al., 2017; Hill et al., 2018; Chong et al., 2022</w:t>
      </w:r>
      <w:r w:rsidRPr="004A642B">
        <w:rPr>
          <w:rFonts w:ascii="Times New Roman" w:hAnsi="Times New Roman" w:cs="Times New Roman"/>
          <w:lang w:val="en-US"/>
        </w:rPr>
        <w:t xml:space="preserve">). Furthermore, although the enrichment of immunosuppressive cellular </w:t>
      </w:r>
      <w:r w:rsidRPr="004A642B">
        <w:rPr>
          <w:rFonts w:ascii="Times New Roman" w:hAnsi="Times New Roman" w:cs="Times New Roman"/>
          <w:lang w:val="en-US"/>
        </w:rPr>
        <w:lastRenderedPageBreak/>
        <w:t>compartments has been linked to impaired CAR T-cell expansion, quantitative assessments of infiltrating immune and stromal populations do not fully explain the variability in clinical responses. This discrepancy suggests that the functional state and phenotypic plasticity of the malignant clone may impose more formidable barriers than the mere abundance of inhibitory cells.</w:t>
      </w:r>
    </w:p>
    <w:p w14:paraId="62FE73F4" w14:textId="2CF8E50D"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At the molecular level, effective antitumor immunity relies on coordinated inflammatory signaling. Acute activation of interferon (IFN) enhances target vulnerability, whereas an inability to mount an effective baseline inflammatory program, or its chronic dysregulation, can limit CAR T-cell engagement (</w:t>
      </w:r>
      <w:r w:rsidRPr="00987498">
        <w:rPr>
          <w:rFonts w:ascii="Times New Roman" w:hAnsi="Times New Roman" w:cs="Times New Roman"/>
          <w:highlight w:val="yellow"/>
          <w:lang w:val="en-US"/>
        </w:rPr>
        <w:t>Benci et al., 2016; Sharma et al., 2023</w:t>
      </w:r>
      <w:r w:rsidRPr="004A642B">
        <w:rPr>
          <w:rFonts w:ascii="Times New Roman" w:hAnsi="Times New Roman" w:cs="Times New Roman"/>
          <w:lang w:val="en-US"/>
        </w:rPr>
        <w:t>). In parallel, specific chemokine networks, such as the CCL20</w:t>
      </w:r>
      <w:r>
        <w:rPr>
          <w:rFonts w:ascii="Times New Roman" w:hAnsi="Times New Roman" w:cs="Times New Roman"/>
          <w:lang w:val="en-US"/>
        </w:rPr>
        <w:t>-</w:t>
      </w:r>
      <w:r w:rsidRPr="004A642B">
        <w:rPr>
          <w:rFonts w:ascii="Times New Roman" w:hAnsi="Times New Roman" w:cs="Times New Roman"/>
          <w:lang w:val="en-US"/>
        </w:rPr>
        <w:t>CCR6 axis, have been implicated in driving immune exclusion and establishing an anergic niche (</w:t>
      </w:r>
      <w:r w:rsidRPr="00987498">
        <w:rPr>
          <w:rFonts w:ascii="Times New Roman" w:hAnsi="Times New Roman" w:cs="Times New Roman"/>
          <w:highlight w:val="yellow"/>
          <w:lang w:val="en-US"/>
        </w:rPr>
        <w:t>Karin and Clevers, 2016</w:t>
      </w:r>
      <w:r w:rsidRPr="004A642B">
        <w:rPr>
          <w:rFonts w:ascii="Times New Roman" w:hAnsi="Times New Roman" w:cs="Times New Roman"/>
          <w:lang w:val="en-US"/>
        </w:rPr>
        <w:t>). Beyond classical immune signaling, emerging paradigms highlight the role of tumor dedifferentiation and aggressive tissue remodeling. Programs analogous to epithelial-mesenchymal transition (EMT) and alterations in cellular adhesion confer physical and biological protection against effector immune cell infiltration and cytotoxicity, representing a largely unexplored frontier in cellular immunotherapy resistance (</w:t>
      </w:r>
      <w:r w:rsidRPr="00987498">
        <w:rPr>
          <w:rFonts w:ascii="Times New Roman" w:hAnsi="Times New Roman" w:cs="Times New Roman"/>
          <w:highlight w:val="yellow"/>
          <w:lang w:val="en-US"/>
        </w:rPr>
        <w:t>Chaffer &amp; Weinberg, 2011; Terry et al., 2017; Wang et al., 2020</w:t>
      </w:r>
      <w:r w:rsidRPr="004A642B">
        <w:rPr>
          <w:rFonts w:ascii="Times New Roman" w:hAnsi="Times New Roman" w:cs="Times New Roman"/>
          <w:lang w:val="en-US"/>
        </w:rPr>
        <w:t>).</w:t>
      </w:r>
    </w:p>
    <w:p w14:paraId="231C9B37" w14:textId="605827D3"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Conversely, tumor-intrinsic programs linked to mature lineage identity appear to dictate therapeutic sensitivity. The robust preservation of B-cell differentiation programs</w:t>
      </w:r>
      <w:r>
        <w:rPr>
          <w:rFonts w:ascii="Times New Roman" w:hAnsi="Times New Roman" w:cs="Times New Roman"/>
          <w:lang w:val="en-US"/>
        </w:rPr>
        <w:t xml:space="preserve"> - </w:t>
      </w:r>
      <w:r w:rsidRPr="004A642B">
        <w:rPr>
          <w:rFonts w:ascii="Times New Roman" w:hAnsi="Times New Roman" w:cs="Times New Roman"/>
          <w:lang w:val="en-US"/>
        </w:rPr>
        <w:t>reflected by canonical markers such as CD19 and MS4A1, alongside transcriptional master regulators such as IRF8</w:t>
      </w:r>
      <w:r>
        <w:rPr>
          <w:rFonts w:ascii="Times New Roman" w:hAnsi="Times New Roman" w:cs="Times New Roman"/>
          <w:lang w:val="en-US"/>
        </w:rPr>
        <w:t xml:space="preserve"> - </w:t>
      </w:r>
      <w:r w:rsidRPr="004A642B">
        <w:rPr>
          <w:rFonts w:ascii="Times New Roman" w:hAnsi="Times New Roman" w:cs="Times New Roman"/>
          <w:lang w:val="en-US"/>
        </w:rPr>
        <w:t>maintains a cellular state highly permissive to immune clearance, bridging tumor identity with global immune competence (</w:t>
      </w:r>
      <w:r w:rsidRPr="00987498">
        <w:rPr>
          <w:rFonts w:ascii="Times New Roman" w:hAnsi="Times New Roman" w:cs="Times New Roman"/>
          <w:highlight w:val="yellow"/>
          <w:lang w:val="en-US"/>
        </w:rPr>
        <w:t>Alspach et al., 2019; Shipp et al., 2002</w:t>
      </w:r>
      <w:r w:rsidRPr="004A642B">
        <w:rPr>
          <w:rFonts w:ascii="Times New Roman" w:hAnsi="Times New Roman" w:cs="Times New Roman"/>
          <w:lang w:val="en-US"/>
        </w:rPr>
        <w:t>).</w:t>
      </w:r>
    </w:p>
    <w:p w14:paraId="66FF0ADC" w14:textId="466B045F" w:rsidR="00A85184"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lastRenderedPageBreak/>
        <w:t>To decode this multidimensional evasion network, the present study aimed to investigate the molecular determinants of Axi-cel response by integrating transcriptomic data from the pivotal ZUMA-1 and ZUMA-7 clinical trials. Rather than focusing exclusively on bulk immune infiltration, we systematically evaluated baseline B-cell lineage integrity, canonical exhaustion markers, and the HLA complex. Through this approach, we identified distinct biological pathways of intrinsic resistance</w:t>
      </w:r>
      <w:r w:rsidR="00A32665">
        <w:rPr>
          <w:rFonts w:ascii="Times New Roman" w:hAnsi="Times New Roman" w:cs="Times New Roman"/>
          <w:lang w:val="en-US"/>
        </w:rPr>
        <w:t xml:space="preserve"> - </w:t>
      </w:r>
      <w:r w:rsidRPr="004A642B">
        <w:rPr>
          <w:rFonts w:ascii="Times New Roman" w:hAnsi="Times New Roman" w:cs="Times New Roman"/>
          <w:lang w:val="en-US"/>
        </w:rPr>
        <w:t>ranging from immune silencing to aggressive tissue remodeling</w:t>
      </w:r>
      <w:r w:rsidR="00A32665">
        <w:rPr>
          <w:rFonts w:ascii="Times New Roman" w:hAnsi="Times New Roman" w:cs="Times New Roman"/>
          <w:lang w:val="en-US"/>
        </w:rPr>
        <w:t xml:space="preserve"> - </w:t>
      </w:r>
      <w:r w:rsidRPr="004A642B">
        <w:rPr>
          <w:rFonts w:ascii="Times New Roman" w:hAnsi="Times New Roman" w:cs="Times New Roman"/>
          <w:lang w:val="en-US"/>
        </w:rPr>
        <w:t>and established an orthogonally validated transcriptomic signature that provides a mechanistic framework to predict CAR T-cell failure and guide future therapeutic strategies.</w:t>
      </w:r>
    </w:p>
    <w:p w14:paraId="0E24A67D" w14:textId="77777777" w:rsidR="00EE1B9D" w:rsidRPr="004A642B" w:rsidRDefault="00EE1B9D" w:rsidP="00855F70">
      <w:pPr>
        <w:spacing w:after="0" w:line="480" w:lineRule="auto"/>
        <w:jc w:val="both"/>
        <w:rPr>
          <w:rFonts w:ascii="Times New Roman" w:hAnsi="Times New Roman" w:cs="Times New Roman"/>
          <w:b/>
          <w:bCs/>
          <w:lang w:val="en-US"/>
        </w:rPr>
      </w:pPr>
    </w:p>
    <w:p w14:paraId="45C1747F" w14:textId="4B6882A2" w:rsidR="004772B8" w:rsidRPr="001D256D" w:rsidRDefault="004772B8" w:rsidP="00855F70">
      <w:pPr>
        <w:spacing w:after="0" w:line="480" w:lineRule="auto"/>
        <w:jc w:val="both"/>
        <w:rPr>
          <w:rFonts w:ascii="Times New Roman" w:hAnsi="Times New Roman" w:cs="Times New Roman"/>
          <w:b/>
          <w:bCs/>
          <w:lang w:val="en-US"/>
        </w:rPr>
      </w:pPr>
      <w:r w:rsidRPr="001D256D">
        <w:rPr>
          <w:rFonts w:ascii="Times New Roman" w:hAnsi="Times New Roman" w:cs="Times New Roman"/>
          <w:b/>
          <w:bCs/>
          <w:lang w:val="en-US"/>
        </w:rPr>
        <w:t xml:space="preserve">2. </w:t>
      </w:r>
      <w:r w:rsidR="001D256D" w:rsidRPr="001D256D">
        <w:rPr>
          <w:rFonts w:ascii="Times New Roman" w:hAnsi="Times New Roman" w:cs="Times New Roman"/>
          <w:b/>
          <w:bCs/>
          <w:lang w:val="en-US"/>
        </w:rPr>
        <w:t>Materials and methods</w:t>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72DEA6DA"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This retrospective translational study analyzed transcriptomic and clinical data from patients with relapsed or refractory (r/r) diffuse large B-cell lymphoma (DLBCL) treated with the axicabtagene ciloleucel (Axi-cel) anti-CD19 CAR T-cell therapy. Data were derived from the pivotal ZUMA-1 (NCT02348216; third-line setting) and ZUMA-7 (NCT03391466; second-line setting) clinical trials. The TCGA-DLBC cohort (N = 47; CAR-T naïve)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 xml:space="preserve">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w:t>
      </w:r>
      <w:r w:rsidRPr="00F8678C">
        <w:rPr>
          <w:rFonts w:ascii="Times New Roman" w:hAnsi="Times New Roman" w:cs="Times New Roman"/>
          <w:lang w:val="en-US"/>
        </w:rPr>
        <w:lastRenderedPageBreak/>
        <w:t>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commentRangeStart w:id="0"/>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commentRangeEnd w:id="0"/>
      <w:r w:rsidR="00860CE7" w:rsidRPr="005E7F5A">
        <w:rPr>
          <w:rStyle w:val="Refdecomentrio"/>
          <w:rFonts w:ascii="Times New Roman" w:hAnsi="Times New Roman" w:cs="Times New Roman"/>
          <w:b/>
          <w:bCs/>
          <w:sz w:val="24"/>
          <w:szCs w:val="24"/>
          <w:lang w:val="en-US"/>
        </w:rPr>
        <w:commentReference w:id="0"/>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2A6514AC"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Preprocessed gene expression matrices derived from custom microarray platforms were retrieved from the Gene Expression Omnibus (GEO) repository under accession numbers GSE197977 (ZUMA-1 cohort; 74 samples, 724 genes) and GSE248835 (ZUMA-7 cohort; 256 samples, 817 transcripts and functional signatures). To establish the reference control cohort, RNA sequencing data (RNA-seq, quantified as Transcripts Per Million [TPM]) for the TCGA-DLBC cohort were systematically obtained from the Genomic Data Commons (GDC) portal.</w:t>
      </w:r>
    </w:p>
    <w:p w14:paraId="59AAEBE3" w14:textId="63D2F9E7"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To enable analytical integration across distinct transcriptomic technologies,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9D0C76C" w:rsidR="00090C4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lastRenderedPageBreak/>
        <w:t>The architecture of the tumor microenvironment (TME) was deconvoluted using the Microenvironment Cell Populations-counter algorithm (MCP-counter; MCPcounter R package v1.2.0),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6532726E" w14:textId="77777777" w:rsidR="00987498" w:rsidRPr="005E7F5A" w:rsidRDefault="00987498" w:rsidP="005E7F5A">
      <w:pPr>
        <w:spacing w:after="0" w:line="480" w:lineRule="auto"/>
        <w:ind w:firstLine="709"/>
        <w:jc w:val="both"/>
        <w:rPr>
          <w:rFonts w:ascii="Times New Roman" w:hAnsi="Times New Roman" w:cs="Times New Roman"/>
          <w:lang w:val="en-US"/>
        </w:rPr>
      </w:pP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13C0B7B6"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Log2-transformed counts were scaled into Z-scores and subjected to unsupervised hierarchical clustering (Euclidean distance and Ward's linkage method; stats R package v4.2.2), followed by visualization using multidimensional heatmaps (ComplexHeatmap v2.14.0). Finally, direct clinico-genomic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lastRenderedPageBreak/>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5F6EDE80"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map the global transcriptomic perturbations underlying primary resistance to Axi-cel, baseline differential expression analysis (DEA) was conducted using the limma R package (v3.54.2),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&gt; 0.5) for the initial prospection of signatures. Aiming to translate isolated transcripts into functional programs and capture biological heterogeneity at the individual patient level, Single-Sample Gene Set Enrichment Analysis (ssGSEA; GSVA v1.46.0) was employed. This approach quantified the activation intensity (Mean Normalized Enrichment Score, Mean NES) of eight ontological macrocategories from the MSigDB Hallmark collection. Complementarily, to identify the core mechanistic axes driving therapeutic failure at the population level, classical GSEA (fgsea v1.24.0) was performed based on the continuous statistical ranking derived from limma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63EEBD6C"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determine the clinical impact of transcriptomic signatures on therapeutic efficacy, Event-Free Survival (EFS) within the ZUMA-7 cohort was modeled using Kaplan-Meier estimates and the log-rank test (survival R package v3.5-5, survminer v0.4.9). Patient stratification was strictly based on the intra-cohort median expression, ensuring a standardized analytical threshold and mitigating cutpoint optimization biases (cutpoint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w:t>
      </w:r>
      <w:r w:rsidRPr="00FA1309">
        <w:rPr>
          <w:rFonts w:ascii="Times New Roman" w:hAnsi="Times New Roman" w:cs="Times New Roman"/>
          <w:lang w:val="en-US"/>
        </w:rPr>
        <w:lastRenderedPageBreak/>
        <w:t>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correlation (stats v4.2.2).</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conclusively discriminate strict predictive value (specific to cellular immunotherapy) from mere general prognostic impact (inherent to baseline DLBCL aggressiveness), the therapeutic specificity of the biomarkers was assessed through 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w:t>
      </w:r>
      <w:r w:rsidRPr="00FA1309">
        <w:rPr>
          <w:rFonts w:ascii="Times New Roman" w:hAnsi="Times New Roman" w:cs="Times New Roman"/>
          <w:lang w:val="en-US"/>
        </w:rPr>
        <w:lastRenderedPageBreak/>
        <w:t>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(GSEA/ssGSEA);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was compiled and illustrated using the BioRender platform (</w:t>
      </w:r>
      <w:hyperlink r:id="rId12"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2B9CFC0"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All analytical processing and statistical modeling were executed within the R computational environment (version 4.2.2; R Foundation for Statistical Computing, Vienna, Austria). The distribution of continuous variables between independent groups was evaluated using the non-parametric Mann-Whitney U test, whereas the Wilcoxon signed-rank test was applied for intra-patient paired longitudinal measurements. Bivariate 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hazards assumption.</w:t>
      </w:r>
    </w:p>
    <w:p w14:paraId="08884D74" w14:textId="77777777"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 A two-tailed statistical significance threshold of p &lt; 0.05 was adopted a priori across all inferential analyses. The visualization of high-dimensional complex data was orchestrated primarily utilizing the ggplot2 (v3.4.2), ComplexHeatmap (v2.14.0), and survminer (v0.4.9) 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lastRenderedPageBreak/>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baseline expression across the entire panel of B-cell lineage markers (CD19, MS4A1/CD20, TNFRSF17) compared to those who experienced therapeutic failure (Figure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41D8620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corresponding to the panel established in the pivotal ZUMA-7 study (</w:t>
      </w:r>
      <w:r w:rsidRPr="00987498">
        <w:rPr>
          <w:rFonts w:ascii="Times New Roman" w:hAnsi="Times New Roman" w:cs="Times New Roman"/>
          <w:highlight w:val="yellow"/>
          <w:lang w:val="en-US"/>
        </w:rPr>
        <w:t>Locke et al., 2024</w:t>
      </w:r>
      <w:r w:rsidRPr="00E96F36">
        <w:rPr>
          <w:rFonts w:ascii="Times New Roman" w:hAnsi="Times New Roman" w:cs="Times New Roman"/>
          <w:lang w:val="en-US"/>
        </w:rPr>
        <w:t>)</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assessed in the Axi-cel-treated cohort. Patients are stratified by durable clinical outcome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 (</w:t>
      </w:r>
      <w:r w:rsidRPr="00987498">
        <w:rPr>
          <w:rFonts w:ascii="Times New Roman" w:hAnsi="Times New Roman" w:cs="Times New Roman"/>
          <w:highlight w:val="yellow"/>
          <w:lang w:val="en-US"/>
        </w:rPr>
        <w:t>Scholler et al., 2022</w:t>
      </w:r>
      <w:r w:rsidRPr="00E96F36">
        <w:rPr>
          <w:rFonts w:ascii="Times New Roman" w:hAnsi="Times New Roman" w:cs="Times New Roman"/>
          <w:lang w:val="en-US"/>
        </w:rPr>
        <w:t xml:space="preserve">), </w:t>
      </w:r>
      <w:r w:rsidRPr="00E96F36">
        <w:rPr>
          <w:rFonts w:ascii="Times New Roman" w:hAnsi="Times New Roman" w:cs="Times New Roman"/>
          <w:lang w:val="en-US"/>
        </w:rPr>
        <w:lastRenderedPageBreak/>
        <w:t xml:space="preserve">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lastRenderedPageBreak/>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(event-free survival) events. Expression divergence is mapped on a Z-score scale, where intense blue represents underexpression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(GSEA/ssGSEA).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(ssGSEA). MSigDB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(Non-CR).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(Non-CR)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Non-CR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To conclusively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Analytical Integration and Biological Originality: Cross-Validation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1CA61DAF"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 (</w:t>
      </w:r>
      <w:r w:rsidRPr="008521E4">
        <w:rPr>
          <w:rFonts w:ascii="Times New Roman" w:hAnsi="Times New Roman" w:cs="Times New Roman"/>
          <w:highlight w:val="yellow"/>
          <w:lang w:val="en-US"/>
        </w:rPr>
        <w:t>Scholler et al., 2022</w:t>
      </w:r>
      <w:r w:rsidRPr="00DD4F74">
        <w:rPr>
          <w:rFonts w:ascii="Times New Roman" w:hAnsi="Times New Roman" w:cs="Times New Roman"/>
          <w:lang w:val="en-US"/>
        </w:rPr>
        <w:t>) and ZUMA-7 (</w:t>
      </w:r>
      <w:r w:rsidRPr="008521E4">
        <w:rPr>
          <w:rFonts w:ascii="Times New Roman" w:hAnsi="Times New Roman" w:cs="Times New Roman"/>
          <w:highlight w:val="yellow"/>
          <w:lang w:val="en-US"/>
        </w:rPr>
        <w:t>Locke et al., 2024</w:t>
      </w:r>
      <w:r w:rsidRPr="00DD4F74">
        <w:rPr>
          <w:rFonts w:ascii="Times New Roman" w:hAnsi="Times New Roman" w:cs="Times New Roman"/>
          <w:lang w:val="en-US"/>
        </w:rPr>
        <w:t>) 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8"/>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commentRangeStart w:id="1"/>
      <w:r w:rsidRPr="003E5AC9">
        <w:rPr>
          <w:rFonts w:ascii="Times New Roman" w:hAnsi="Times New Roman" w:cs="Times New Roman"/>
          <w:b/>
          <w:bCs/>
          <w:lang w:val="en-US"/>
        </w:rPr>
        <w:t xml:space="preserve">Table </w:t>
      </w:r>
      <w:commentRangeEnd w:id="1"/>
      <w:r w:rsidR="00860CE7" w:rsidRPr="003E5AC9">
        <w:rPr>
          <w:rStyle w:val="Refdecomentrio"/>
          <w:rFonts w:ascii="Times New Roman" w:hAnsi="Times New Roman" w:cs="Times New Roman"/>
          <w:b/>
          <w:bCs/>
          <w:sz w:val="24"/>
          <w:szCs w:val="24"/>
          <w:lang w:val="en-US"/>
        </w:rPr>
        <w:commentReference w:id="1"/>
      </w:r>
      <w:r w:rsidRPr="003E5AC9">
        <w:rPr>
          <w:rFonts w:ascii="Times New Roman" w:hAnsi="Times New Roman" w:cs="Times New Roman"/>
          <w:b/>
          <w:bCs/>
          <w:lang w:val="en-US"/>
        </w:rPr>
        <w:t>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Category / Primary Function</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Gene / Marker</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ZUMA-1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ZUMA-7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Conclusion</w:t>
            </w:r>
            <w:r w:rsidRPr="0042659F">
              <w:rPr>
                <w:rFonts w:ascii="Times New Roman" w:hAnsi="Times New Roman" w:cs="Times New Roman"/>
              </w:rPr>
              <w:t>††</w:t>
            </w:r>
          </w:p>
        </w:tc>
      </w:tr>
      <w:tr w:rsidR="003E5AC9" w:rsidRPr="00E17A82"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Lineage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Target Preservation</w:t>
            </w:r>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xml:space="preserve">Context: </w:t>
            </w:r>
            <w:r w:rsidRPr="003E5AC9">
              <w:rPr>
                <w:rFonts w:ascii="Times New Roman" w:hAnsi="Times New Roman" w:cs="Times New Roman"/>
              </w:rPr>
              <w:t>B-cell signature.</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E17A82"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Antigen Presentation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ZUMA-1 did not show the same profile; this may be an effect of the lines of treatment, given that ZUMA-7 involves second-line treatment while ZUMA-1 involves third-line treatment.</w:t>
            </w:r>
          </w:p>
        </w:tc>
      </w:tr>
      <w:tr w:rsidR="003E5AC9" w:rsidRPr="00E17A82"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Hostile Microenvironment /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Significantly higher expression in Non-Responders⁴.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Associated with worse EFS and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E17A82"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prominently mentioned.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Associated with worse EFS and shorter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(indirectly)</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r w:rsidRPr="003E5AC9">
              <w:rPr>
                <w:rFonts w:ascii="Times New Roman" w:hAnsi="Times New Roman" w:cs="Times New Roman"/>
              </w:rPr>
              <w:t>This result aligns with the findings from ZUMA-7.</w:t>
            </w:r>
          </w:p>
        </w:tc>
      </w:tr>
      <w:tr w:rsidR="003E5AC9" w:rsidRPr="00E17A82"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Immune Activation and Dysfunction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demonstrated that CAR-T therapy reduces the expression of this gene in patients achieving a complete response, there was no </w:t>
            </w:r>
            <w:r w:rsidRPr="003E5AC9">
              <w:rPr>
                <w:rFonts w:ascii="Times New Roman" w:hAnsi="Times New Roman" w:cs="Times New Roman"/>
                <w:lang w:val="en-US"/>
              </w:rPr>
              <w:lastRenderedPageBreak/>
              <w:t>difference in baseline levels between responders and non-responders; the ZUMA-7 trial, meanwhile, did not directly address this.</w:t>
            </w:r>
          </w:p>
        </w:tc>
      </w:tr>
      <w:tr w:rsidR="003E5AC9" w:rsidRPr="00E17A82"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increase in OR⁷. Interestingly, the increase was more detectable in Non-CR.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(Cytotoxic). Signature associated with SOC, but not significantly with axi-cel.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E17A82"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specific</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Associated with resistance environments.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E17A82"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"Stem-like"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w:t>
            </w:r>
            <w:r w:rsidRPr="003E5AC9">
              <w:rPr>
                <w:rFonts w:ascii="Times New Roman" w:hAnsi="Times New Roman" w:cs="Times New Roman"/>
                <w:lang w:val="en-US"/>
              </w:rPr>
              <w:lastRenderedPageBreak/>
              <w:t xml:space="preserve">higher expression in responders⁹. </w:t>
            </w:r>
            <w:r w:rsidRPr="003E5AC9">
              <w:rPr>
                <w:rFonts w:ascii="Times New Roman" w:hAnsi="Times New Roman" w:cs="Times New Roman"/>
              </w:rPr>
              <w:t>RA isoform not detailed.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 xml:space="preserve">Strongest predictors of </w:t>
            </w:r>
            <w:r w:rsidRPr="003E5AC9">
              <w:rPr>
                <w:rFonts w:ascii="Times New Roman" w:hAnsi="Times New Roman" w:cs="Times New Roman"/>
                <w:lang w:val="en-US"/>
              </w:rPr>
              <w:lastRenderedPageBreak/>
              <w:t>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Presented as a potential baseline protective factor, confirmed by findings from </w:t>
            </w:r>
            <w:r w:rsidRPr="003E5AC9">
              <w:rPr>
                <w:rFonts w:ascii="Times New Roman" w:hAnsi="Times New Roman" w:cs="Times New Roman"/>
                <w:lang w:val="en-US"/>
              </w:rPr>
              <w:lastRenderedPageBreak/>
              <w:t>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E17A82"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Intrinsic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detailed individually.</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E17A82"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r w:rsidRPr="00B138CA">
        <w:rPr>
          <w:rFonts w:ascii="Times New Roman" w:hAnsi="Times New Roman" w:cs="Times New Roman"/>
          <w:b/>
          <w:bCs/>
          <w:lang w:val="en-US"/>
        </w:rPr>
        <w:t>Notes:</w:t>
      </w:r>
      <w:r w:rsidRPr="0042659F">
        <w:rPr>
          <w:rFonts w:ascii="Times New Roman" w:hAnsi="Times New Roman" w:cs="Times New Roman"/>
          <w:lang w:val="en-US"/>
        </w:rPr>
        <w:t xml:space="preserve"> † 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lastRenderedPageBreak/>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6DCAFB0" w:rsidR="003E5AC9" w:rsidRPr="00DD4F74" w:rsidRDefault="008C2BA8" w:rsidP="00697A56">
      <w:pPr>
        <w:spacing w:after="0" w:line="480" w:lineRule="auto"/>
        <w:jc w:val="both"/>
        <w:rPr>
          <w:rFonts w:ascii="Times New Roman" w:hAnsi="Times New Roman" w:cs="Times New Roman"/>
          <w:lang w:val="en-US"/>
        </w:rPr>
      </w:pPr>
      <w:commentRangeStart w:id="2"/>
      <w:r>
        <w:rPr>
          <w:rFonts w:ascii="Arial" w:hAnsi="Arial" w:cs="Arial"/>
          <w:noProof/>
          <w:color w:val="000000"/>
          <w:sz w:val="20"/>
          <w:szCs w:val="20"/>
        </w:rPr>
        <w:lastRenderedPageBreak/>
        <w:drawing>
          <wp:inline distT="0" distB="0" distL="0" distR="0" wp14:anchorId="755744F5" wp14:editId="60B24ACB">
            <wp:extent cx="5400040" cy="4547870"/>
            <wp:effectExtent l="0" t="0" r="0" b="5080"/>
            <wp:docPr id="10993590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4547870"/>
                    </a:xfrm>
                    <a:prstGeom prst="rect">
                      <a:avLst/>
                    </a:prstGeom>
                    <a:noFill/>
                    <a:ln>
                      <a:noFill/>
                    </a:ln>
                  </pic:spPr>
                </pic:pic>
              </a:graphicData>
            </a:graphic>
          </wp:inline>
        </w:drawing>
      </w:r>
      <w:commentRangeEnd w:id="2"/>
      <w:r w:rsidR="00403188" w:rsidRPr="00DD4F74">
        <w:rPr>
          <w:rStyle w:val="Refdecomentrio"/>
          <w:rFonts w:ascii="Times New Roman" w:hAnsi="Times New Roman" w:cs="Times New Roman"/>
          <w:sz w:val="24"/>
          <w:szCs w:val="24"/>
          <w:lang w:val="en-US"/>
        </w:rPr>
        <w:commentReference w:id="2"/>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54E84510"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dedifferentiation—orchestrated by the loss of B-cell identity, cell cycle hyperactivation, and tissue remodeling programs (EMT and CDH2/NCAM1-mediated adhesion)—fosters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73F145F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 (Jain et al., 2021; Majzner et al., 2018). Consistent with this premise, our data demonstrate that Axi-cel efficacy relies fundamentally on the overall preservation of B-cell lineage identity (CD19, MS4A1, TNFRSF17). These observations support a model in which CD19 expression is necessary but not sufficient, indicating that </w:t>
      </w:r>
      <w:r w:rsidRPr="005C2D0A">
        <w:rPr>
          <w:rFonts w:ascii="Times New Roman" w:hAnsi="Times New Roman" w:cs="Times New Roman"/>
          <w:lang w:val="en-US"/>
        </w:rPr>
        <w:lastRenderedPageBreak/>
        <w:t>tumors retaining a differentiated and mature lymphoid program remain significantly more susceptible to CAR T-cell-mediated cytotoxicity.</w:t>
      </w:r>
    </w:p>
    <w:p w14:paraId="3B03A18D" w14:textId="3C9F93C4"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post-infusional manner, intrinsically affecting the CAR T-cell itself instead of being reflected in the global baseline tumor transcriptome (Chong et al., 2017; Hill et al., 2018; Chong et al., 2022).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p>
    <w:p w14:paraId="1FE35457" w14:textId="4D4DB822"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 Although chronic IFN signaling can induce adaptive resistance (Benci et al., 2016), our data do not support a model of excessive inflammation. Instead, they point to an inability to mount an effective baseline inflammatory program, coupled with immune exclusion </w:t>
      </w:r>
      <w:r w:rsidRPr="005C2D0A">
        <w:rPr>
          <w:rFonts w:ascii="Times New Roman" w:hAnsi="Times New Roman" w:cs="Times New Roman"/>
          <w:lang w:val="en-US"/>
        </w:rPr>
        <w:lastRenderedPageBreak/>
        <w:t>mediated by alternative chemotactic axes, such as the hyperactivation of CCL20 (Karin and Clevers, 2016; Liu et al., 2021).</w:t>
      </w:r>
    </w:p>
    <w:p w14:paraId="4284D6FD" w14:textId="505A001B"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 (Chaffer &amp; Weinberg, 2011; Terry et al., 2017). Notably, the WNT11 gene emerged not only as a predictor of CAR T-cell failure but also as a transversal pan-prognostic marker, indicating an intrinsic tumor hyperaggressiveness that confers cross-resistance to both conventional chemotherapy and cellular immunotherapy (Galluzzi et al., 2018; Wang et al., 2020).</w:t>
      </w:r>
    </w:p>
    <w:p w14:paraId="0E2B99B7" w14:textId="47248E43" w:rsidR="000B3C8E" w:rsidRPr="00403188"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 (Alspach et al., 2019).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 (Ritthipichai et al., 2017). Such findings refine the concept of a "hot" tumor in the CAR T-cell era: what determines therapeutic success is not the bulk volume of the pre-existing immune infiltrate (as demonstrated by our cellular deconvolution analysis), but rather the </w:t>
      </w:r>
      <w:r w:rsidRPr="00403188">
        <w:rPr>
          <w:rFonts w:ascii="Times New Roman" w:hAnsi="Times New Roman" w:cs="Times New Roman"/>
          <w:lang w:val="en-US"/>
        </w:rPr>
        <w:t>functional and structural competence of this signaling.</w:t>
      </w:r>
    </w:p>
    <w:p w14:paraId="5D5A3209" w14:textId="59976B87" w:rsidR="00403188" w:rsidRDefault="00172BCD" w:rsidP="00172BCD">
      <w:pPr>
        <w:spacing w:after="0" w:line="480" w:lineRule="auto"/>
        <w:ind w:firstLine="709"/>
        <w:jc w:val="both"/>
        <w:rPr>
          <w:rFonts w:ascii="Times New Roman" w:hAnsi="Times New Roman" w:cs="Times New Roman"/>
          <w:lang w:val="en-US"/>
        </w:rPr>
      </w:pPr>
      <w:r w:rsidRPr="00172BCD">
        <w:rPr>
          <w:rFonts w:ascii="Times New Roman" w:hAnsi="Times New Roman" w:cs="Times New Roman"/>
          <w:lang w:val="en-US"/>
        </w:rPr>
        <w:lastRenderedPageBreak/>
        <w:t xml:space="preserve">In summary, the results synthesized by our integrative mechanistic model (Figure 6) </w:t>
      </w:r>
      <w:r w:rsidR="000C3C2A" w:rsidRPr="000C3C2A">
        <w:rPr>
          <w:rFonts w:ascii="Times New Roman" w:hAnsi="Times New Roman" w:cs="Times New Roman"/>
          <w:lang w:val="en-US"/>
        </w:rPr>
        <w:t>provide a valuable contribution to better understanding the complexity of Axi-cel failure.</w:t>
      </w:r>
      <w:r w:rsidRPr="00172BCD">
        <w:rPr>
          <w:rFonts w:ascii="Times New Roman" w:hAnsi="Times New Roman" w:cs="Times New Roman"/>
          <w:lang w:val="en-US"/>
        </w:rPr>
        <w:t xml:space="preserv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Wnt pathway blockers, chemotaxis inhibitors, or stromal niche modulation) and next-generation CAR T-cells armored against this hostile microenvironment.</w:t>
      </w:r>
    </w:p>
    <w:p w14:paraId="47191A8A" w14:textId="77777777" w:rsidR="000C3C2A" w:rsidRDefault="003E76B2" w:rsidP="000C3C2A">
      <w:pPr>
        <w:spacing w:after="0" w:line="480" w:lineRule="auto"/>
        <w:ind w:firstLine="709"/>
        <w:jc w:val="both"/>
        <w:rPr>
          <w:rFonts w:ascii="Times New Roman" w:hAnsi="Times New Roman" w:cs="Times New Roman"/>
          <w:lang w:val="en-US"/>
        </w:rPr>
      </w:pPr>
      <w:r w:rsidRPr="003E76B2">
        <w:rPr>
          <w:rFonts w:ascii="Times New Roman" w:hAnsi="Times New Roman" w:cs="Times New Roman"/>
          <w:lang w:val="en-US"/>
        </w:rPr>
        <w:t>Despite the translational contributions and methodological rigor of this study, certain limitations 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establish the routine clinical utility of this biomarker panel. Finally, although we demonstrated the independent prognostic impact of novel risk targets</w:t>
      </w:r>
      <w:r>
        <w:rPr>
          <w:rFonts w:ascii="Times New Roman" w:hAnsi="Times New Roman" w:cs="Times New Roman"/>
          <w:lang w:val="en-US"/>
        </w:rPr>
        <w:t xml:space="preserve"> </w:t>
      </w:r>
      <w:r w:rsidRPr="003E76B2">
        <w:rPr>
          <w:rFonts w:ascii="Times New Roman" w:hAnsi="Times New Roman" w:cs="Times New Roman"/>
          <w:lang w:val="en-US"/>
        </w:rPr>
        <w:t xml:space="preserve">further mechanistic in vitro and in vivo functional studies are required to elucidate the precise molecular pathways through which tissue remodeling and phenotypic plasticity impair CAR T-cell cytotoxicity. Future perspectives should leverage single-cell and </w:t>
      </w:r>
      <w:r w:rsidRPr="003E76B2">
        <w:rPr>
          <w:rFonts w:ascii="Times New Roman" w:hAnsi="Times New Roman" w:cs="Times New Roman"/>
          <w:lang w:val="en-US"/>
        </w:rPr>
        <w:lastRenderedPageBreak/>
        <w:t>spatial transcriptomics to decipher the microenvironmental topography of immune evasion, alongside preclinical trials evaluating combination strategies designed to neutralize these intrinsic resistance programs.</w:t>
      </w:r>
    </w:p>
    <w:p w14:paraId="7E710206" w14:textId="77777777" w:rsidR="000C3C2A" w:rsidRDefault="000C3C2A" w:rsidP="000C3C2A">
      <w:pPr>
        <w:spacing w:after="0" w:line="480" w:lineRule="auto"/>
        <w:ind w:firstLine="709"/>
        <w:jc w:val="both"/>
        <w:rPr>
          <w:rFonts w:ascii="Times New Roman" w:hAnsi="Times New Roman" w:cs="Times New Roman"/>
          <w:lang w:val="en-US"/>
        </w:rPr>
      </w:pPr>
    </w:p>
    <w:p w14:paraId="2CFC8BA9" w14:textId="77777777" w:rsidR="000C3C2A" w:rsidRPr="000C3C2A" w:rsidRDefault="000C3C2A" w:rsidP="000C3C2A">
      <w:pPr>
        <w:spacing w:after="0" w:line="480" w:lineRule="auto"/>
        <w:jc w:val="both"/>
        <w:rPr>
          <w:rFonts w:ascii="Times New Roman" w:hAnsi="Times New Roman" w:cs="Times New Roman"/>
          <w:b/>
          <w:bCs/>
          <w:lang w:val="en-US"/>
        </w:rPr>
      </w:pPr>
      <w:r w:rsidRPr="000C3C2A">
        <w:rPr>
          <w:rFonts w:ascii="Times New Roman" w:hAnsi="Times New Roman" w:cs="Times New Roman"/>
          <w:b/>
          <w:bCs/>
          <w:lang w:val="en-US"/>
        </w:rPr>
        <w:t>Conclusion</w:t>
      </w:r>
    </w:p>
    <w:p w14:paraId="3E1991D0" w14:textId="77777777" w:rsidR="000C3C2A" w:rsidRDefault="000C3C2A" w:rsidP="000C3C2A">
      <w:pPr>
        <w:spacing w:after="0" w:line="480" w:lineRule="auto"/>
        <w:jc w:val="both"/>
        <w:rPr>
          <w:rFonts w:ascii="Times New Roman" w:hAnsi="Times New Roman" w:cs="Times New Roman"/>
          <w:lang w:val="en-US"/>
        </w:rPr>
      </w:pPr>
    </w:p>
    <w:p w14:paraId="23CBC001" w14:textId="4AF90B00" w:rsidR="009E3191" w:rsidRPr="009E3191" w:rsidRDefault="009E3191" w:rsidP="009E3191">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transition programs (EMT; mediated by CDH2 and NCAM1), immune-excluding chemotaxis (CCL20), and a baseline hyperaggressive state (WNT11).</w:t>
      </w:r>
    </w:p>
    <w:p w14:paraId="45FF5476" w14:textId="2CB40546" w:rsidR="00756E06" w:rsidRPr="009E3191" w:rsidRDefault="009E3191" w:rsidP="009E3191">
      <w:pPr>
        <w:spacing w:after="0" w:line="480" w:lineRule="auto"/>
        <w:ind w:firstLine="709"/>
        <w:jc w:val="both"/>
        <w:rPr>
          <w:rFonts w:ascii="Times New Roman" w:hAnsi="Times New Roman" w:cs="Times New Roman"/>
        </w:rPr>
      </w:pPr>
      <w:r w:rsidRPr="009E3191">
        <w:rPr>
          <w:rFonts w:ascii="Times New Roman" w:hAnsi="Times New Roman" w:cs="Times New Roman"/>
          <w:lang w:val="en-US"/>
        </w:rPr>
        <w:t>Orthogonal validation confirmed that this transcriptomic signature possesses strict predictive specificity for cellular immunotherapy, distinguishing it from agnostic resistance markers to conventional chemotherapy. From a translational perspective, characterizing these evasion axes helps to better understand the heterogeneity of CAR T-cell response, establishing a rational foundation for pre-treatment risk stratification and providing promising biological targets for the development of combination strategies</w:t>
      </w:r>
      <w:r>
        <w:rPr>
          <w:rFonts w:ascii="Times New Roman" w:hAnsi="Times New Roman" w:cs="Times New Roman"/>
          <w:lang w:val="en-US"/>
        </w:rPr>
        <w:t xml:space="preserve"> </w:t>
      </w:r>
      <w:r w:rsidRPr="009E3191">
        <w:rPr>
          <w:rFonts w:ascii="Times New Roman" w:hAnsi="Times New Roman" w:cs="Times New Roman"/>
          <w:lang w:val="en-US"/>
        </w:rPr>
        <w:t xml:space="preserve">as </w:t>
      </w:r>
      <w:r w:rsidRPr="009E3191">
        <w:rPr>
          <w:rFonts w:ascii="Times New Roman" w:hAnsi="Times New Roman" w:cs="Times New Roman"/>
          <w:lang w:val="en-US"/>
        </w:rPr>
        <w:lastRenderedPageBreak/>
        <w:t>well as the design of next-generation CAR T-cells engineered to overcome the refractory tumor microenvironment.</w:t>
      </w:r>
      <w:r w:rsidR="006B2A9E" w:rsidRPr="009E3191">
        <w:rPr>
          <w:rFonts w:ascii="Times New Roman" w:hAnsi="Times New Roman" w:cs="Times New Roman"/>
          <w:b/>
          <w:bCs/>
          <w:lang w:val="en-US"/>
        </w:rPr>
        <w:br w:type="page"/>
      </w:r>
      <w:r w:rsidR="00172BCD" w:rsidRPr="009E3191">
        <w:rPr>
          <w:rFonts w:ascii="Times New Roman" w:hAnsi="Times New Roman" w:cs="Times New Roman"/>
          <w:b/>
          <w:bCs/>
        </w:rPr>
        <w:lastRenderedPageBreak/>
        <w:t>Supplementary Material</w:t>
      </w:r>
    </w:p>
    <w:p w14:paraId="7FC57E2E" w14:textId="77777777" w:rsidR="00756E06" w:rsidRPr="009E3191" w:rsidRDefault="00756E06" w:rsidP="00855F70">
      <w:pPr>
        <w:spacing w:after="0" w:line="480" w:lineRule="auto"/>
        <w:jc w:val="both"/>
        <w:rPr>
          <w:rFonts w:ascii="Times New Roman" w:hAnsi="Times New Roman" w:cs="Times New Roman"/>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(p_value) were derived using non-parametric statistical testing (the Wilcoxon rank-sum/Mann-Whitney U test for independent groups, or the Wilcoxon signed-rank test for paired longitudinal samples). To ensure statistical rigor and preserve biological power, adjusted p-values (padj_BH and label_padj)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r w:rsidRPr="00756E06">
              <w:rPr>
                <w:rFonts w:ascii="Times New Roman" w:hAnsi="Times New Roman" w:cs="Times New Roman"/>
                <w:b/>
                <w:bCs/>
                <w:i w:val="0"/>
                <w:iCs w:val="0"/>
              </w:rPr>
              <w:t>Cohort</w:t>
            </w:r>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Gene group</w:t>
            </w:r>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p_value</w:t>
            </w:r>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padj_BH</w:t>
            </w:r>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label_padj</w:t>
            </w:r>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Exhausted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(logFC), alongside its mean expression across all contrast samples (AveExpr). Statistical inferences for each group comparison (contrast and comparison) are derived from empirical Bayes moderated t-statistics (t) and the log-odds of differential expression (B). Statistical significance is denoted by the nominal p-value (P.Value) and the adjusted p-value (adj.P.Val) rigorously corrected for multiple comparisons using the Benjamini-Hochberg False Discovery Rate (FDR) control method. The definitive biological direction of transcriptional enrichment for each gene is explicitly summarized (direction_RawP).</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logFC</w:t>
            </w:r>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AveExpr</w:t>
            </w:r>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P.Value</w:t>
            </w:r>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adj.P.Val</w:t>
            </w:r>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comparison</w:t>
            </w:r>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direction_RawP</w:t>
            </w:r>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(MSigDB),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(pval), accompanied by the computational log error estimate (log2err) and the adjusted p-value (padj)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r w:rsidRPr="000C069A">
              <w:rPr>
                <w:rFonts w:ascii="Times New Roman" w:hAnsi="Times New Roman" w:cs="Times New Roman"/>
              </w:rPr>
              <w:t>pathway</w:t>
            </w:r>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pval</w:t>
            </w:r>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padj</w:t>
            </w:r>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size</w:t>
            </w:r>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Cohort</w:t>
            </w:r>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NanoString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logFC), the cohort mean expression (AveExpr), the empirical moderated t-statistic (t), and the differential log-odds (B). Significance was evaluated via the nominal p-value (P.Value) and subsequently corrected for multiple testing scenarios using the Benjamini-Hochberg FDR method (adj.P.Val).</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logFC</w:t>
            </w:r>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AveExpr</w:t>
            </w:r>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P.Value</w:t>
            </w:r>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adj.P.Val</w:t>
            </w:r>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comparison</w:t>
            </w:r>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direction_RawP</w:t>
            </w:r>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Endothelial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Glycolytic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Inflammatory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Exhausted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MSigDB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(KM_PValue) alongside the initial univariate Cox proportional hazards regression metrics (UniCox_PValue and UniCox_HR). For biomarkers subjected to independent validation, multivariable Cox model metrics are presented, encompassing the Hazard Ratio adjusted for clinical covariates (MultiCox_HR), the corresponding 95% confidence intervals (CI_lower and CI_upper), and the final adjusted statistical significance (MultiCox_PValue).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KM_PValue</w:t>
            </w:r>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UniCox_PValue</w:t>
            </w:r>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UniCox_HR</w:t>
            </w:r>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MultiCox_HR</w:t>
            </w:r>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CI_lower</w:t>
            </w:r>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CI_upper</w:t>
            </w:r>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MultiCox_PValue</w:t>
            </w:r>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39AB8B8D" w14:textId="77777777" w:rsidR="00756E06" w:rsidRDefault="00756E06" w:rsidP="00855F70">
      <w:pPr>
        <w:spacing w:after="0" w:line="480" w:lineRule="auto"/>
        <w:jc w:val="both"/>
        <w:rPr>
          <w:rFonts w:ascii="Times New Roman" w:hAnsi="Times New Roman" w:cs="Times New Roman"/>
          <w:lang w:val="en-US"/>
        </w:rPr>
      </w:pPr>
    </w:p>
    <w:p w14:paraId="2FF7C721" w14:textId="77777777" w:rsidR="00756E06" w:rsidRDefault="00756E06" w:rsidP="00855F70">
      <w:pPr>
        <w:spacing w:after="0" w:line="480" w:lineRule="auto"/>
        <w:jc w:val="both"/>
        <w:rPr>
          <w:rFonts w:ascii="Times New Roman" w:hAnsi="Times New Roman" w:cs="Times New Roman"/>
          <w:lang w:val="en-US"/>
        </w:rPr>
      </w:pPr>
    </w:p>
    <w:p w14:paraId="2C5C9042" w14:textId="77777777" w:rsidR="00D81832" w:rsidRDefault="00D81832" w:rsidP="00855F70">
      <w:pPr>
        <w:spacing w:after="0" w:line="480" w:lineRule="auto"/>
        <w:jc w:val="both"/>
        <w:rPr>
          <w:rFonts w:ascii="Times New Roman" w:hAnsi="Times New Roman" w:cs="Times New Roman"/>
          <w:lang w:val="en-US"/>
        </w:rPr>
      </w:pPr>
    </w:p>
    <w:p w14:paraId="233BFC23" w14:textId="77777777" w:rsidR="00D81832" w:rsidRDefault="00D81832" w:rsidP="00855F70">
      <w:pPr>
        <w:spacing w:after="0" w:line="480" w:lineRule="auto"/>
        <w:jc w:val="both"/>
        <w:rPr>
          <w:rFonts w:ascii="Times New Roman" w:hAnsi="Times New Roman" w:cs="Times New Roman"/>
          <w:lang w:val="en-US"/>
        </w:rPr>
      </w:pP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an Resende" w:date="2026-07-30T19:12:00Z" w:initials="JR">
    <w:p w14:paraId="51F1DBA6" w14:textId="77777777" w:rsidR="00860CE7" w:rsidRDefault="00860CE7" w:rsidP="00860CE7">
      <w:pPr>
        <w:pStyle w:val="Textodecomentrio"/>
      </w:pPr>
      <w:r>
        <w:rPr>
          <w:rStyle w:val="Refdecomentrio"/>
        </w:rPr>
        <w:annotationRef/>
      </w:r>
      <w:r>
        <w:t>Mencionar que separamos os grupos que são referentes a Others e Ongoing</w:t>
      </w:r>
    </w:p>
  </w:comment>
  <w:comment w:id="1" w:author="Jean Resende" w:date="2026-07-30T19:18:00Z" w:initials="JR">
    <w:p w14:paraId="6D9ABA8E" w14:textId="77777777" w:rsidR="00860CE7" w:rsidRDefault="00860CE7" w:rsidP="00860CE7">
      <w:pPr>
        <w:pStyle w:val="Textodecomentrio"/>
      </w:pPr>
      <w:r>
        <w:rPr>
          <w:rStyle w:val="Refdecomentrio"/>
        </w:rPr>
        <w:annotationRef/>
      </w:r>
      <w:r>
        <w:t>Acrescentar mais uma linha apresentando as diferenças biologicas e tecnicas das duas coortes</w:t>
      </w:r>
    </w:p>
  </w:comment>
  <w:comment w:id="2" w:author="Jean Resende" w:date="2026-07-30T06:18:00Z" w:initials="JR">
    <w:p w14:paraId="6B9337FE" w14:textId="77777777" w:rsidR="00403188" w:rsidRDefault="00403188" w:rsidP="00403188">
      <w:pPr>
        <w:pStyle w:val="Textodecomentrio"/>
      </w:pPr>
      <w:r>
        <w:rPr>
          <w:rStyle w:val="Refdecomentrio"/>
        </w:rPr>
        <w:annotationRef/>
      </w:r>
      <w:r>
        <w:t>Pensei em ver uma alternativa com o fundo branco ao invés de vermelho e azul, o que acha? Ou o sr. Prefere dessa forma pois os fundos ajudam a entender melhor cada cenário?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1DBA6" w15:done="0"/>
  <w15:commentEx w15:paraId="6D9ABA8E" w15:done="0"/>
  <w15:commentEx w15:paraId="6B9337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300624" w16cex:dateUtc="2026-07-30T22:12:00Z"/>
  <w16cex:commentExtensible w16cex:durableId="7486E16D" w16cex:dateUtc="2026-07-30T22:18:00Z"/>
  <w16cex:commentExtensible w16cex:durableId="151EA28C" w16cex:dateUtc="2026-07-30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1DBA6" w16cid:durableId="14300624"/>
  <w16cid:commentId w16cid:paraId="6D9ABA8E" w16cid:durableId="7486E16D"/>
  <w16cid:commentId w16cid:paraId="6B9337FE" w16cid:durableId="151EA2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80C1D" w14:textId="77777777" w:rsidR="004C6A2E" w:rsidRDefault="004C6A2E" w:rsidP="000853FE">
      <w:pPr>
        <w:spacing w:after="0" w:line="240" w:lineRule="auto"/>
      </w:pPr>
      <w:r>
        <w:separator/>
      </w:r>
    </w:p>
  </w:endnote>
  <w:endnote w:type="continuationSeparator" w:id="0">
    <w:p w14:paraId="153C9BD3" w14:textId="77777777" w:rsidR="004C6A2E" w:rsidRDefault="004C6A2E"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08635" w14:textId="77777777" w:rsidR="004C6A2E" w:rsidRDefault="004C6A2E" w:rsidP="000853FE">
      <w:pPr>
        <w:spacing w:after="0" w:line="240" w:lineRule="auto"/>
      </w:pPr>
      <w:r>
        <w:separator/>
      </w:r>
    </w:p>
  </w:footnote>
  <w:footnote w:type="continuationSeparator" w:id="0">
    <w:p w14:paraId="16827D74" w14:textId="77777777" w:rsidR="004C6A2E" w:rsidRDefault="004C6A2E"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an Resende">
    <w15:presenceInfo w15:providerId="Windows Live" w15:userId="0b79263b250b89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38F5"/>
    <w:rsid w:val="000B3C8E"/>
    <w:rsid w:val="000B7264"/>
    <w:rsid w:val="000C069A"/>
    <w:rsid w:val="000C3754"/>
    <w:rsid w:val="000C3C2A"/>
    <w:rsid w:val="000C549A"/>
    <w:rsid w:val="000F5417"/>
    <w:rsid w:val="00110B33"/>
    <w:rsid w:val="001334A8"/>
    <w:rsid w:val="00155307"/>
    <w:rsid w:val="00172BCD"/>
    <w:rsid w:val="00181890"/>
    <w:rsid w:val="001C1775"/>
    <w:rsid w:val="001D256D"/>
    <w:rsid w:val="001F60D7"/>
    <w:rsid w:val="002019F0"/>
    <w:rsid w:val="00235950"/>
    <w:rsid w:val="002523A8"/>
    <w:rsid w:val="002529F8"/>
    <w:rsid w:val="002556E8"/>
    <w:rsid w:val="00290E47"/>
    <w:rsid w:val="00296070"/>
    <w:rsid w:val="002D68B7"/>
    <w:rsid w:val="002F0054"/>
    <w:rsid w:val="003000CC"/>
    <w:rsid w:val="00303E8C"/>
    <w:rsid w:val="00311D8C"/>
    <w:rsid w:val="00316979"/>
    <w:rsid w:val="00316F71"/>
    <w:rsid w:val="003329D1"/>
    <w:rsid w:val="0035187C"/>
    <w:rsid w:val="0035314A"/>
    <w:rsid w:val="003933FD"/>
    <w:rsid w:val="003A031D"/>
    <w:rsid w:val="003A4B4A"/>
    <w:rsid w:val="003C1930"/>
    <w:rsid w:val="003E5AC9"/>
    <w:rsid w:val="003E76B2"/>
    <w:rsid w:val="003F0F44"/>
    <w:rsid w:val="00403188"/>
    <w:rsid w:val="0042659F"/>
    <w:rsid w:val="00447E16"/>
    <w:rsid w:val="0045217D"/>
    <w:rsid w:val="004772B8"/>
    <w:rsid w:val="004814A9"/>
    <w:rsid w:val="004A642B"/>
    <w:rsid w:val="004B3329"/>
    <w:rsid w:val="004C4438"/>
    <w:rsid w:val="004C6A2E"/>
    <w:rsid w:val="004D41C2"/>
    <w:rsid w:val="004E497C"/>
    <w:rsid w:val="004E4D65"/>
    <w:rsid w:val="004E53FA"/>
    <w:rsid w:val="00501D1E"/>
    <w:rsid w:val="00520ED2"/>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D5F2B"/>
    <w:rsid w:val="007E3E9D"/>
    <w:rsid w:val="007F24FD"/>
    <w:rsid w:val="00822A69"/>
    <w:rsid w:val="00842AB5"/>
    <w:rsid w:val="00843702"/>
    <w:rsid w:val="008521E4"/>
    <w:rsid w:val="00855F70"/>
    <w:rsid w:val="00860CE7"/>
    <w:rsid w:val="00876971"/>
    <w:rsid w:val="008A7D19"/>
    <w:rsid w:val="008B38BB"/>
    <w:rsid w:val="008C2BA8"/>
    <w:rsid w:val="008D3019"/>
    <w:rsid w:val="008F353B"/>
    <w:rsid w:val="0094675C"/>
    <w:rsid w:val="0097190C"/>
    <w:rsid w:val="009772CF"/>
    <w:rsid w:val="00980575"/>
    <w:rsid w:val="00987498"/>
    <w:rsid w:val="009919A4"/>
    <w:rsid w:val="0099668B"/>
    <w:rsid w:val="009A3C05"/>
    <w:rsid w:val="009B365C"/>
    <w:rsid w:val="009E3191"/>
    <w:rsid w:val="00A1225C"/>
    <w:rsid w:val="00A137A8"/>
    <w:rsid w:val="00A278E6"/>
    <w:rsid w:val="00A32665"/>
    <w:rsid w:val="00A43C04"/>
    <w:rsid w:val="00A73462"/>
    <w:rsid w:val="00A85184"/>
    <w:rsid w:val="00AA4D6C"/>
    <w:rsid w:val="00AA7A5E"/>
    <w:rsid w:val="00AF43F6"/>
    <w:rsid w:val="00B03375"/>
    <w:rsid w:val="00B03DC1"/>
    <w:rsid w:val="00B138CA"/>
    <w:rsid w:val="00B21F6A"/>
    <w:rsid w:val="00B22234"/>
    <w:rsid w:val="00B44954"/>
    <w:rsid w:val="00B55467"/>
    <w:rsid w:val="00B64F1D"/>
    <w:rsid w:val="00B76B9B"/>
    <w:rsid w:val="00BA1EFE"/>
    <w:rsid w:val="00BC1DF9"/>
    <w:rsid w:val="00BE6F36"/>
    <w:rsid w:val="00C64385"/>
    <w:rsid w:val="00C700B1"/>
    <w:rsid w:val="00C81F48"/>
    <w:rsid w:val="00C87255"/>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17A82"/>
    <w:rsid w:val="00E27570"/>
    <w:rsid w:val="00E4194E"/>
    <w:rsid w:val="00E50226"/>
    <w:rsid w:val="00E504D8"/>
    <w:rsid w:val="00E93D1A"/>
    <w:rsid w:val="00E96F36"/>
    <w:rsid w:val="00EC34F9"/>
    <w:rsid w:val="00EE1B9D"/>
    <w:rsid w:val="00EE6B1F"/>
    <w:rsid w:val="00F2112B"/>
    <w:rsid w:val="00F2735D"/>
    <w:rsid w:val="00F308C5"/>
    <w:rsid w:val="00F81413"/>
    <w:rsid w:val="00F86438"/>
    <w:rsid w:val="00F8678C"/>
    <w:rsid w:val="00FA1309"/>
    <w:rsid w:val="00FC151E"/>
    <w:rsid w:val="00FD76C1"/>
    <w:rsid w:val="00FE024B"/>
    <w:rsid w:val="00FE4DCC"/>
    <w:rsid w:val="00FE6D86"/>
    <w:rsid w:val="00FF1F24"/>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biorender.com"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2063</TotalTime>
  <Pages>72</Pages>
  <Words>15614</Words>
  <Characters>92281</Characters>
  <Application>Microsoft Office Word</Application>
  <DocSecurity>0</DocSecurity>
  <Lines>7098</Lines>
  <Paragraphs>6346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109</cp:revision>
  <dcterms:created xsi:type="dcterms:W3CDTF">2026-07-25T20:28:00Z</dcterms:created>
  <dcterms:modified xsi:type="dcterms:W3CDTF">2026-07-30T22:26:00Z</dcterms:modified>
</cp:coreProperties>
</file>