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03684BB5" w14:textId="1D41F4C1" w:rsidR="00EE1B9D" w:rsidRDefault="00EE1B9D" w:rsidP="00855F70">
      <w:pPr>
        <w:spacing w:after="0" w:line="480" w:lineRule="auto"/>
        <w:jc w:val="both"/>
        <w:rPr>
          <w:rFonts w:ascii="Times New Roman" w:hAnsi="Times New Roman" w:cs="Times New Roman"/>
          <w:b/>
          <w:bCs/>
          <w:lang w:val="en-US"/>
        </w:rPr>
      </w:pPr>
      <w:r>
        <w:rPr>
          <w:rFonts w:ascii="Times New Roman" w:hAnsi="Times New Roman" w:cs="Times New Roman"/>
          <w:b/>
          <w:bCs/>
          <w:lang w:val="en-US"/>
        </w:rPr>
        <w:lastRenderedPageBreak/>
        <w:t>Introdução</w:t>
      </w:r>
    </w:p>
    <w:p w14:paraId="05BB969B" w14:textId="77777777" w:rsidR="00EE1B9D" w:rsidRPr="00EE1B9D" w:rsidRDefault="00EE1B9D" w:rsidP="00855F70">
      <w:pPr>
        <w:spacing w:after="0" w:line="480" w:lineRule="auto"/>
        <w:jc w:val="both"/>
        <w:rPr>
          <w:rFonts w:ascii="Times New Roman" w:hAnsi="Times New Roman" w:cs="Times New Roman"/>
          <w:lang w:val="en-US"/>
        </w:rPr>
      </w:pPr>
    </w:p>
    <w:p w14:paraId="58D0EBFE" w14:textId="4D8EDB86" w:rsidR="00EE1B9D" w:rsidRDefault="00EE1B9D" w:rsidP="00A85184">
      <w:pPr>
        <w:spacing w:after="0" w:line="480" w:lineRule="auto"/>
        <w:ind w:firstLine="709"/>
        <w:jc w:val="both"/>
        <w:rPr>
          <w:rFonts w:ascii="Times New Roman" w:hAnsi="Times New Roman" w:cs="Times New Roman"/>
        </w:rPr>
      </w:pPr>
      <w:r w:rsidRPr="00EE1B9D">
        <w:rPr>
          <w:rFonts w:ascii="Times New Roman" w:hAnsi="Times New Roman" w:cs="Times New Roman"/>
        </w:rPr>
        <w:t>O linfoma difuso de grandes células B (DLBCL) é o linfoma não-Hodgkin agressivo mais comum em adultos, sendo caracterizado por uma marcante heterogeneidade biológica e clínica</w:t>
      </w:r>
      <w:r>
        <w:rPr>
          <w:rFonts w:ascii="Times New Roman" w:hAnsi="Times New Roman" w:cs="Times New Roman"/>
        </w:rPr>
        <w:t>.</w:t>
      </w:r>
      <w:r w:rsidRPr="00EE1B9D">
        <w:t xml:space="preserve"> </w:t>
      </w:r>
      <w:r w:rsidRPr="00EE1B9D">
        <w:rPr>
          <w:rFonts w:ascii="Times New Roman" w:hAnsi="Times New Roman" w:cs="Times New Roman"/>
        </w:rPr>
        <w:t>Apesar dos avanços alcançados com a quimioimunoterapia de primeira linha baseada em rituximabe (R-CHOP), cerca de 30% a 40% dos pacientes desenvolvem doença recaída ou refratária (r/r), um cenário clínico historicamente associado a um prognóstico desfavorável e a opções terapêuticas limitadas (Crump et al., 2017; Sehn and Salles, 2021). Neste contexto, a terapia com células T com receptor de antígeno quimérico (CAR-T) direcionada ao CD19</w:t>
      </w:r>
      <w:r>
        <w:rPr>
          <w:rFonts w:ascii="Times New Roman" w:hAnsi="Times New Roman" w:cs="Times New Roman"/>
        </w:rPr>
        <w:t>,</w:t>
      </w:r>
      <w:r w:rsidRPr="00EE1B9D">
        <w:rPr>
          <w:rFonts w:ascii="Times New Roman" w:hAnsi="Times New Roman" w:cs="Times New Roman"/>
        </w:rPr>
        <w:t xml:space="preserve"> como o axicabtagene ciloleucel (Axi-cel), emergiu como uma estratégia transformadora, induzindo remissões duradouras em uma parcela de pacientes pré-tratados (Locke et al., 2022; Neelapu et al., 2017).</w:t>
      </w:r>
    </w:p>
    <w:p w14:paraId="55C8D23C" w14:textId="5DED970C" w:rsidR="00A85184" w:rsidRDefault="00EE1B9D" w:rsidP="00A85184">
      <w:pPr>
        <w:spacing w:after="0" w:line="480" w:lineRule="auto"/>
        <w:ind w:firstLine="709"/>
        <w:jc w:val="both"/>
        <w:rPr>
          <w:rFonts w:ascii="Times New Roman" w:hAnsi="Times New Roman" w:cs="Times New Roman"/>
        </w:rPr>
      </w:pPr>
      <w:r w:rsidRPr="00EE1B9D">
        <w:rPr>
          <w:rFonts w:ascii="Times New Roman" w:hAnsi="Times New Roman" w:cs="Times New Roman"/>
        </w:rPr>
        <w:t>No entanto, mesmo entre os pacientes tratados com Axi-cel, uma proporção substancial falha em alcançar resposta completa sustentada ou evolui com recidiva precoce pós-CAR-T. Embora o escape antigênico por perda de CD19 esteja descrito, a progressão ocorre frequentemente em tumores que mantêm a expressão do alvo, indicando que a resistência ao Axi-cel é impulsionada por mecanismos não antigênicos (Jain et al., 2021; Majzner et al., 2018). Essas observações sustentam um modelo no qual a resistência terapêutica é predominantemente impulsionada por mecanismos não antigênicos, governados por uma complexa interação entre programas funcionais intrínsecos do tumor e o microambiente tumoral (TME).</w:t>
      </w:r>
    </w:p>
    <w:p w14:paraId="1DBE7ED1" w14:textId="47F79179" w:rsidR="00A85184" w:rsidRDefault="00A85184" w:rsidP="00A85184">
      <w:pPr>
        <w:spacing w:after="0" w:line="480" w:lineRule="auto"/>
        <w:ind w:firstLine="709"/>
        <w:jc w:val="both"/>
        <w:rPr>
          <w:rFonts w:ascii="Times New Roman" w:hAnsi="Times New Roman" w:cs="Times New Roman"/>
        </w:rPr>
      </w:pPr>
      <w:r w:rsidRPr="00A85184">
        <w:rPr>
          <w:rFonts w:ascii="Times New Roman" w:hAnsi="Times New Roman" w:cs="Times New Roman"/>
        </w:rPr>
        <w:t xml:space="preserve">Na imunologia oncológica clássica, a evasão imune é frequentemente atribuída à exaustão pré-existente de células T e à regulação negativa da maquinaria de apresentação de antígenos (HLA). Contudo, embora vias como a sinalização PD-1/PD-L1 sejam </w:t>
      </w:r>
      <w:r w:rsidRPr="00A85184">
        <w:rPr>
          <w:rFonts w:ascii="Times New Roman" w:hAnsi="Times New Roman" w:cs="Times New Roman"/>
        </w:rPr>
        <w:lastRenderedPageBreak/>
        <w:t xml:space="preserve">críticas para a resistência adaptativa pós-infusão, assinaturas globais de exaustão no baseline frequentemente falham em estratificar a eficácia do CAR-T de forma independente (Chong et al., 2017; Hill et al., 2018; Chong et al., 2022). </w:t>
      </w:r>
      <w:r>
        <w:rPr>
          <w:rFonts w:ascii="Times New Roman" w:hAnsi="Times New Roman" w:cs="Times New Roman"/>
        </w:rPr>
        <w:t>No entanto</w:t>
      </w:r>
      <w:r w:rsidRPr="00A85184">
        <w:rPr>
          <w:rFonts w:ascii="Times New Roman" w:hAnsi="Times New Roman" w:cs="Times New Roman"/>
        </w:rPr>
        <w:t>, embora o enriquecimento de compartimentos celulares imunossupressores tenha sido associado ao prejuízo na expansão do CAR-T, a avaliação quantitativa de populações imunes e estromais infiltrantes não explica totalmente a variabilidade nas respostas clínicas. Essa discrepância sugere que o estado funcional e a plasticidade fenotípica do clone maligno podem impor barreiras mais sólidas do que a abundância de células inibitórias.</w:t>
      </w:r>
    </w:p>
    <w:p w14:paraId="69D2FCEE" w14:textId="10996B71" w:rsidR="00A85184" w:rsidRDefault="00A85184" w:rsidP="00A85184">
      <w:pPr>
        <w:spacing w:after="0" w:line="480" w:lineRule="auto"/>
        <w:ind w:firstLine="709"/>
        <w:jc w:val="both"/>
        <w:rPr>
          <w:rFonts w:ascii="Times New Roman" w:hAnsi="Times New Roman" w:cs="Times New Roman"/>
        </w:rPr>
      </w:pPr>
      <w:r w:rsidRPr="00A85184">
        <w:rPr>
          <w:rFonts w:ascii="Times New Roman" w:hAnsi="Times New Roman" w:cs="Times New Roman"/>
        </w:rPr>
        <w:t>Em nível molecular, a imunidade antitumoral eficaz depende de uma sinalização inflamatória coordenada. A ativação aguda de interferon (IFN) aumenta a vulnerabilidade do alvo, enquanto a incapacidade de montar um programa inflamatório basal eficaz, ou a sua desregulação crônica, pode limitar o engajamento do CAR-T (Benci et al., 2016; Sharma et al., 2023). Em paralelo, redes específicas de quimiocinas, como o eixo CCL20</w:t>
      </w:r>
      <w:r w:rsidR="00C64385">
        <w:rPr>
          <w:rFonts w:ascii="Times New Roman" w:hAnsi="Times New Roman" w:cs="Times New Roman"/>
        </w:rPr>
        <w:t>-</w:t>
      </w:r>
      <w:r w:rsidRPr="00A85184">
        <w:rPr>
          <w:rFonts w:ascii="Times New Roman" w:hAnsi="Times New Roman" w:cs="Times New Roman"/>
        </w:rPr>
        <w:t>CCR6, têm sido implicadas na indução de exclusão imune e na criação de um nicho anérgico (Karin and Clevers, 2016). Para além da sinalização imune clássica, paradigmas emergentes destacam o papel da desdiferenciação tumoral e do remodelamento tecidual agressivo. Programas análogos à transição epitélio-mesenquimal (EMT) e alterações na adesão celular conferem proteção física e biológica contra a infiltração e citotoxicidade de células imunes efetoras, representando uma fronteira ainda pouco explorada na resistência à imunoterapia celular (Chaffer &amp; Weinberg, 2011; Terry et al., 2017; Wang et al., 2020).</w:t>
      </w:r>
    </w:p>
    <w:p w14:paraId="4B826013" w14:textId="17E6200B" w:rsidR="00A85184" w:rsidRDefault="00A85184" w:rsidP="00A85184">
      <w:pPr>
        <w:spacing w:after="0" w:line="480" w:lineRule="auto"/>
        <w:ind w:firstLine="709"/>
        <w:jc w:val="both"/>
        <w:rPr>
          <w:rFonts w:ascii="Times New Roman" w:hAnsi="Times New Roman" w:cs="Times New Roman"/>
        </w:rPr>
      </w:pPr>
      <w:r w:rsidRPr="00A85184">
        <w:rPr>
          <w:rFonts w:ascii="Times New Roman" w:hAnsi="Times New Roman" w:cs="Times New Roman"/>
        </w:rPr>
        <w:t xml:space="preserve">Por outro lado, programas intrínsecos do tumor ligados à identidade de linhagem madura parecem ditar a sensibilidade terapêutica. A preservação robusta dos programas de diferenciação B </w:t>
      </w:r>
      <w:r>
        <w:rPr>
          <w:rFonts w:ascii="Times New Roman" w:hAnsi="Times New Roman" w:cs="Times New Roman"/>
        </w:rPr>
        <w:t>-</w:t>
      </w:r>
      <w:r w:rsidRPr="00A85184">
        <w:rPr>
          <w:rFonts w:ascii="Times New Roman" w:hAnsi="Times New Roman" w:cs="Times New Roman"/>
        </w:rPr>
        <w:t xml:space="preserve"> refletida por marcadores canônicos como CD19 e MS4A1, ao lado </w:t>
      </w:r>
      <w:r w:rsidRPr="00A85184">
        <w:rPr>
          <w:rFonts w:ascii="Times New Roman" w:hAnsi="Times New Roman" w:cs="Times New Roman"/>
        </w:rPr>
        <w:lastRenderedPageBreak/>
        <w:t xml:space="preserve">de reguladores mestres transcricionais como IRF8 </w:t>
      </w:r>
      <w:r>
        <w:rPr>
          <w:rFonts w:ascii="Times New Roman" w:hAnsi="Times New Roman" w:cs="Times New Roman"/>
        </w:rPr>
        <w:t>-</w:t>
      </w:r>
      <w:r w:rsidRPr="00A85184">
        <w:rPr>
          <w:rFonts w:ascii="Times New Roman" w:hAnsi="Times New Roman" w:cs="Times New Roman"/>
        </w:rPr>
        <w:t xml:space="preserve"> mantém um estado celular altamente permissivo à depuração imune, conectando a identidade tumoral à competência imunológica global (Alspach et al., 2019; Shipp et al., 2002).</w:t>
      </w:r>
    </w:p>
    <w:p w14:paraId="66FF0ADC" w14:textId="373A07D1" w:rsidR="00A85184" w:rsidRPr="00A85184" w:rsidRDefault="00A85184" w:rsidP="00A85184">
      <w:pPr>
        <w:spacing w:after="0" w:line="480" w:lineRule="auto"/>
        <w:ind w:firstLine="709"/>
        <w:jc w:val="both"/>
        <w:rPr>
          <w:rFonts w:ascii="Times New Roman" w:hAnsi="Times New Roman" w:cs="Times New Roman"/>
        </w:rPr>
      </w:pPr>
      <w:r w:rsidRPr="00A85184">
        <w:rPr>
          <w:rFonts w:ascii="Times New Roman" w:hAnsi="Times New Roman" w:cs="Times New Roman"/>
        </w:rPr>
        <w:t xml:space="preserve">Para decodificar essa rede multidimensional de evasão, o presente estudo teve como objetivo investigar os determinantes moleculares de resposta ao Axi-cel, integrando dados transcriptômicos dos ensaios clínicos pivotais ZUMA-1 e ZUMA-7. Em vez de focar exclusivamente no infiltrado imune bruto, avaliamos sistematicamente a integridade basal da linhagem B, marcadores canônicos de exaustão e o complexo HLA. Através dessa abordagem, identificamos vias biológicas distintas de resistência intrínseca </w:t>
      </w:r>
      <w:r>
        <w:rPr>
          <w:rFonts w:ascii="Times New Roman" w:hAnsi="Times New Roman" w:cs="Times New Roman"/>
        </w:rPr>
        <w:t>-</w:t>
      </w:r>
      <w:r w:rsidRPr="00A85184">
        <w:rPr>
          <w:rFonts w:ascii="Times New Roman" w:hAnsi="Times New Roman" w:cs="Times New Roman"/>
        </w:rPr>
        <w:t xml:space="preserve"> variando do silenciamento imune ao remodelamento tecidual agressivo </w:t>
      </w:r>
      <w:r>
        <w:rPr>
          <w:rFonts w:ascii="Times New Roman" w:hAnsi="Times New Roman" w:cs="Times New Roman"/>
        </w:rPr>
        <w:t>-</w:t>
      </w:r>
      <w:r w:rsidRPr="00A85184">
        <w:rPr>
          <w:rFonts w:ascii="Times New Roman" w:hAnsi="Times New Roman" w:cs="Times New Roman"/>
        </w:rPr>
        <w:t xml:space="preserve"> e estabelecemos uma assinatura transcriptômica validada ortogonalmente que fornece um arcabouço mecanístico para prever a falha ao CAR-T e orientar futuras estratégias terapêuticas.</w:t>
      </w:r>
    </w:p>
    <w:p w14:paraId="0E24A67D" w14:textId="77777777" w:rsidR="00EE1B9D" w:rsidRPr="00EE1B9D" w:rsidRDefault="00EE1B9D" w:rsidP="00855F70">
      <w:pPr>
        <w:spacing w:after="0" w:line="480" w:lineRule="auto"/>
        <w:jc w:val="both"/>
        <w:rPr>
          <w:rFonts w:ascii="Times New Roman" w:hAnsi="Times New Roman" w:cs="Times New Roman"/>
          <w:b/>
          <w:bCs/>
        </w:rPr>
      </w:pPr>
    </w:p>
    <w:p w14:paraId="45C1747F" w14:textId="4B6882A2" w:rsidR="004772B8" w:rsidRPr="001D256D" w:rsidRDefault="004772B8" w:rsidP="00855F70">
      <w:pPr>
        <w:spacing w:after="0" w:line="480" w:lineRule="auto"/>
        <w:jc w:val="both"/>
        <w:rPr>
          <w:rFonts w:ascii="Times New Roman" w:hAnsi="Times New Roman" w:cs="Times New Roman"/>
          <w:b/>
          <w:bCs/>
          <w:lang w:val="en-US"/>
        </w:rPr>
      </w:pPr>
      <w:r w:rsidRPr="001D256D">
        <w:rPr>
          <w:rFonts w:ascii="Times New Roman" w:hAnsi="Times New Roman" w:cs="Times New Roman"/>
          <w:b/>
          <w:bCs/>
          <w:lang w:val="en-US"/>
        </w:rPr>
        <w:t xml:space="preserve">2. </w:t>
      </w:r>
      <w:r w:rsidR="001D256D" w:rsidRPr="001D256D">
        <w:rPr>
          <w:rFonts w:ascii="Times New Roman" w:hAnsi="Times New Roman" w:cs="Times New Roman"/>
          <w:b/>
          <w:bCs/>
          <w:lang w:val="en-US"/>
        </w:rPr>
        <w:t>Materials and methods</w:t>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lastRenderedPageBreak/>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 xml:space="preserve">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w:t>
      </w:r>
      <w:r w:rsidRPr="005E7F5A">
        <w:rPr>
          <w:rFonts w:ascii="Times New Roman" w:hAnsi="Times New Roman" w:cs="Times New Roman"/>
          <w:lang w:val="en-US"/>
        </w:rPr>
        <w:lastRenderedPageBreak/>
        <w:t>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w:t>
      </w:r>
      <w:r w:rsidRPr="00FA1309">
        <w:rPr>
          <w:rFonts w:ascii="Times New Roman" w:hAnsi="Times New Roman" w:cs="Times New Roman"/>
          <w:lang w:val="en-US"/>
        </w:rPr>
        <w:lastRenderedPageBreak/>
        <w:t>(ComplexHeatmap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w:t>
      </w:r>
      <w:r w:rsidRPr="00FA1309">
        <w:rPr>
          <w:rFonts w:ascii="Times New Roman" w:hAnsi="Times New Roman" w:cs="Times New Roman"/>
          <w:lang w:val="en-US"/>
        </w:rPr>
        <w:lastRenderedPageBreak/>
        <w:t>(cutpoint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conclusively discriminate strict predictive value (specific to cellular immunotherapy) from mere general prognostic impact (inherent to baseline DLBCL aggressiveness), the therapeutic specificity of the biomarkers was assessed through 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w:t>
      </w:r>
      <w:r w:rsidRPr="00FA1309">
        <w:rPr>
          <w:rFonts w:ascii="Times New Roman" w:hAnsi="Times New Roman" w:cs="Times New Roman"/>
          <w:lang w:val="en-US"/>
        </w:rPr>
        <w:lastRenderedPageBreak/>
        <w:t>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8"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w:t>
      </w:r>
      <w:r w:rsidRPr="00F2735D">
        <w:rPr>
          <w:rFonts w:ascii="Times New Roman" w:hAnsi="Times New Roman" w:cs="Times New Roman"/>
          <w:lang w:val="en-US"/>
        </w:rPr>
        <w:lastRenderedPageBreak/>
        <w:t>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corresponding to the panel established in the pivotal 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w:t>
      </w:r>
      <w:r w:rsidRPr="00E96F36">
        <w:rPr>
          <w:rFonts w:ascii="Times New Roman" w:hAnsi="Times New Roman" w:cs="Times New Roman"/>
          <w:lang w:val="en-US"/>
        </w:rPr>
        <w:lastRenderedPageBreak/>
        <w:t xml:space="preserve">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lastRenderedPageBreak/>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4"/>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403188"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403188"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403188"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403188"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403188"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403188"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403188"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403188"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0"/>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0"/>
      <w:r w:rsidR="00403188" w:rsidRPr="00DD4F74">
        <w:rPr>
          <w:rStyle w:val="Refdecomentrio"/>
          <w:rFonts w:ascii="Times New Roman" w:hAnsi="Times New Roman" w:cs="Times New Roman"/>
          <w:sz w:val="24"/>
          <w:szCs w:val="24"/>
          <w:lang w:val="en-US"/>
        </w:rPr>
        <w:commentReference w:id="0"/>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59976B8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 xml:space="preserve">In summary, the results synthesized by our integrative mechanistic model (Figure 6) </w:t>
      </w:r>
      <w:r w:rsidR="000C3C2A" w:rsidRPr="000C3C2A">
        <w:rPr>
          <w:rFonts w:ascii="Times New Roman" w:hAnsi="Times New Roman" w:cs="Times New Roman"/>
          <w:lang w:val="en-US"/>
        </w:rPr>
        <w:t>provide a valuable contribution to better understanding the complexity of Axi-cel failure.</w:t>
      </w:r>
      <w:r w:rsidRPr="00172BCD">
        <w:rPr>
          <w:rFonts w:ascii="Times New Roman" w:hAnsi="Times New Roman" w:cs="Times New Roman"/>
          <w:lang w:val="en-US"/>
        </w:rPr>
        <w:t xml:space="preserv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7191A8A" w14:textId="77777777" w:rsidR="000C3C2A" w:rsidRDefault="003E76B2" w:rsidP="000C3C2A">
      <w:pPr>
        <w:spacing w:after="0" w:line="480" w:lineRule="auto"/>
        <w:ind w:firstLine="709"/>
        <w:jc w:val="both"/>
        <w:rPr>
          <w:rFonts w:ascii="Times New Roman" w:hAnsi="Times New Roman" w:cs="Times New Roman"/>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p>
    <w:p w14:paraId="7E710206" w14:textId="77777777" w:rsidR="000C3C2A" w:rsidRDefault="000C3C2A" w:rsidP="000C3C2A">
      <w:pPr>
        <w:spacing w:after="0" w:line="480" w:lineRule="auto"/>
        <w:ind w:firstLine="709"/>
        <w:jc w:val="both"/>
        <w:rPr>
          <w:rFonts w:ascii="Times New Roman" w:hAnsi="Times New Roman" w:cs="Times New Roman"/>
          <w:lang w:val="en-US"/>
        </w:rPr>
      </w:pPr>
    </w:p>
    <w:p w14:paraId="2CFC8BA9" w14:textId="77777777" w:rsidR="000C3C2A" w:rsidRPr="000C3C2A" w:rsidRDefault="000C3C2A" w:rsidP="000C3C2A">
      <w:pPr>
        <w:spacing w:after="0" w:line="480" w:lineRule="auto"/>
        <w:jc w:val="both"/>
        <w:rPr>
          <w:rFonts w:ascii="Times New Roman" w:hAnsi="Times New Roman" w:cs="Times New Roman"/>
          <w:b/>
          <w:bCs/>
          <w:lang w:val="en-US"/>
        </w:rPr>
      </w:pPr>
      <w:r w:rsidRPr="000C3C2A">
        <w:rPr>
          <w:rFonts w:ascii="Times New Roman" w:hAnsi="Times New Roman" w:cs="Times New Roman"/>
          <w:b/>
          <w:bCs/>
          <w:lang w:val="en-US"/>
        </w:rPr>
        <w:t>Conclusion</w:t>
      </w:r>
    </w:p>
    <w:p w14:paraId="3E1991D0" w14:textId="77777777" w:rsidR="000C3C2A" w:rsidRDefault="000C3C2A" w:rsidP="000C3C2A">
      <w:pPr>
        <w:spacing w:after="0" w:line="480" w:lineRule="auto"/>
        <w:jc w:val="both"/>
        <w:rPr>
          <w:rFonts w:ascii="Times New Roman" w:hAnsi="Times New Roman" w:cs="Times New Roman"/>
          <w:lang w:val="en-US"/>
        </w:rPr>
      </w:pPr>
    </w:p>
    <w:p w14:paraId="23CBC001" w14:textId="4AF90B00" w:rsidR="009E3191" w:rsidRPr="009E3191" w:rsidRDefault="009E3191" w:rsidP="009E3191">
      <w:pPr>
        <w:spacing w:after="0" w:line="480" w:lineRule="auto"/>
        <w:ind w:firstLine="709"/>
        <w:jc w:val="both"/>
        <w:rPr>
          <w:rFonts w:ascii="Times New Roman" w:hAnsi="Times New Roman" w:cs="Times New Roman"/>
          <w:lang w:val="en-US"/>
        </w:rPr>
      </w:pPr>
      <w:r w:rsidRPr="009E3191">
        <w:rPr>
          <w:rFonts w:ascii="Times New Roman" w:hAnsi="Times New Roman" w:cs="Times New Roman"/>
          <w:lang w:val="en-US"/>
        </w:rPr>
        <w:t>Collectively, this study provides a valuable addition to understanding the mechanisms of resistance to anti-CD19 CAR T-cell therapy (Axi-cel) in diffuse large B-cell lymphoma (DLBCL). Our findings indicate that therapeutic failure is not primarily dictated by the isolated loss of the CD19 antigen or pre-existing immune exhaustion within the tumor microenvironment. Instead, sensitivity to Axi-cel relies on the overall preservation of B-cell lineage phenotypic integrity (CD19, MS4A1, TNFRSF17) and the functional competence of immune signaling (IRF8, HLA-DOB, BTLA). Conversely, early therapeutic escape is driven by intrinsic biological determinants of the malignant clone, including the loss of lymphoid differentiation, the activation of tissue remodeling and epithelial-mesenchymal transition programs (EMT; mediated by CDH2 and NCAM1), immune-excluding chemotaxis (CCL20), and a baseline hyperaggressive state (WNT11).</w:t>
      </w:r>
    </w:p>
    <w:p w14:paraId="45FF5476" w14:textId="2CB40546" w:rsidR="00756E06" w:rsidRPr="009E3191" w:rsidRDefault="009E3191" w:rsidP="009E3191">
      <w:pPr>
        <w:spacing w:after="0" w:line="480" w:lineRule="auto"/>
        <w:ind w:firstLine="709"/>
        <w:jc w:val="both"/>
        <w:rPr>
          <w:rFonts w:ascii="Times New Roman" w:hAnsi="Times New Roman" w:cs="Times New Roman"/>
        </w:rPr>
      </w:pPr>
      <w:r w:rsidRPr="009E3191">
        <w:rPr>
          <w:rFonts w:ascii="Times New Roman" w:hAnsi="Times New Roman" w:cs="Times New Roman"/>
          <w:lang w:val="en-US"/>
        </w:rPr>
        <w:t>Orthogonal validation confirmed that this transcriptomic signature possesses strict predictive specificity for cellular immunotherapy, distinguishing it from agnostic resistance markers to conventional chemotherapy. From a translational perspective, characterizing these evasion axes helps to better understand the heterogeneity of CAR T-cell response, establishing a rational foundation for pre-treatment risk stratification and providing promising biological targets for the development of combination strategies</w:t>
      </w:r>
      <w:r>
        <w:rPr>
          <w:rFonts w:ascii="Times New Roman" w:hAnsi="Times New Roman" w:cs="Times New Roman"/>
          <w:lang w:val="en-US"/>
        </w:rPr>
        <w:t xml:space="preserve"> </w:t>
      </w:r>
      <w:r w:rsidRPr="009E3191">
        <w:rPr>
          <w:rFonts w:ascii="Times New Roman" w:hAnsi="Times New Roman" w:cs="Times New Roman"/>
          <w:lang w:val="en-US"/>
        </w:rPr>
        <w:t xml:space="preserve">as </w:t>
      </w:r>
      <w:r w:rsidRPr="009E3191">
        <w:rPr>
          <w:rFonts w:ascii="Times New Roman" w:hAnsi="Times New Roman" w:cs="Times New Roman"/>
          <w:lang w:val="en-US"/>
        </w:rPr>
        <w:lastRenderedPageBreak/>
        <w:t>well as the design of next-generation CAR T-cells engineered to overcome the refractory tumor microenvironment.</w:t>
      </w:r>
      <w:r w:rsidR="006B2A9E" w:rsidRPr="009E3191">
        <w:rPr>
          <w:rFonts w:ascii="Times New Roman" w:hAnsi="Times New Roman" w:cs="Times New Roman"/>
          <w:b/>
          <w:bCs/>
          <w:lang w:val="en-US"/>
        </w:rPr>
        <w:br w:type="page"/>
      </w:r>
      <w:r w:rsidR="00172BCD" w:rsidRPr="009E3191">
        <w:rPr>
          <w:rFonts w:ascii="Times New Roman" w:hAnsi="Times New Roman" w:cs="Times New Roman"/>
          <w:b/>
          <w:bCs/>
        </w:rPr>
        <w:lastRenderedPageBreak/>
        <w:t>Supplementary Material</w:t>
      </w:r>
    </w:p>
    <w:p w14:paraId="7FC57E2E" w14:textId="77777777" w:rsidR="00756E06" w:rsidRPr="009E3191" w:rsidRDefault="00756E06" w:rsidP="00855F70">
      <w:pPr>
        <w:spacing w:after="0" w:line="480" w:lineRule="auto"/>
        <w:jc w:val="both"/>
        <w:rPr>
          <w:rFonts w:ascii="Times New Roman" w:hAnsi="Times New Roman" w:cs="Times New Roman"/>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E65A6" w14:textId="77777777" w:rsidR="00EE6B1F" w:rsidRDefault="00EE6B1F" w:rsidP="000853FE">
      <w:pPr>
        <w:spacing w:after="0" w:line="240" w:lineRule="auto"/>
      </w:pPr>
      <w:r>
        <w:separator/>
      </w:r>
    </w:p>
  </w:endnote>
  <w:endnote w:type="continuationSeparator" w:id="0">
    <w:p w14:paraId="4CDE30BB" w14:textId="77777777" w:rsidR="00EE6B1F" w:rsidRDefault="00EE6B1F"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48C4D" w14:textId="77777777" w:rsidR="00EE6B1F" w:rsidRDefault="00EE6B1F" w:rsidP="000853FE">
      <w:pPr>
        <w:spacing w:after="0" w:line="240" w:lineRule="auto"/>
      </w:pPr>
      <w:r>
        <w:separator/>
      </w:r>
    </w:p>
  </w:footnote>
  <w:footnote w:type="continuationSeparator" w:id="0">
    <w:p w14:paraId="5F6944D1" w14:textId="77777777" w:rsidR="00EE6B1F" w:rsidRDefault="00EE6B1F"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3C2A"/>
    <w:rsid w:val="000C549A"/>
    <w:rsid w:val="000F5417"/>
    <w:rsid w:val="00110B33"/>
    <w:rsid w:val="001334A8"/>
    <w:rsid w:val="00155307"/>
    <w:rsid w:val="00172BCD"/>
    <w:rsid w:val="00181890"/>
    <w:rsid w:val="001C1775"/>
    <w:rsid w:val="001D256D"/>
    <w:rsid w:val="001F60D7"/>
    <w:rsid w:val="002019F0"/>
    <w:rsid w:val="002523A8"/>
    <w:rsid w:val="002529F8"/>
    <w:rsid w:val="002556E8"/>
    <w:rsid w:val="00290E47"/>
    <w:rsid w:val="002F0054"/>
    <w:rsid w:val="003000CC"/>
    <w:rsid w:val="00303E8C"/>
    <w:rsid w:val="00311D8C"/>
    <w:rsid w:val="00316979"/>
    <w:rsid w:val="003329D1"/>
    <w:rsid w:val="0035187C"/>
    <w:rsid w:val="0035314A"/>
    <w:rsid w:val="003933FD"/>
    <w:rsid w:val="003A031D"/>
    <w:rsid w:val="003A4B4A"/>
    <w:rsid w:val="003C1930"/>
    <w:rsid w:val="003E5AC9"/>
    <w:rsid w:val="003E76B2"/>
    <w:rsid w:val="00403188"/>
    <w:rsid w:val="0042659F"/>
    <w:rsid w:val="00447E16"/>
    <w:rsid w:val="0045217D"/>
    <w:rsid w:val="004772B8"/>
    <w:rsid w:val="004814A9"/>
    <w:rsid w:val="004B3329"/>
    <w:rsid w:val="004C4438"/>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C05"/>
    <w:rsid w:val="009B365C"/>
    <w:rsid w:val="009E3191"/>
    <w:rsid w:val="00A1225C"/>
    <w:rsid w:val="00A137A8"/>
    <w:rsid w:val="00A43C04"/>
    <w:rsid w:val="00A73462"/>
    <w:rsid w:val="00A85184"/>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64385"/>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27570"/>
    <w:rsid w:val="00E4194E"/>
    <w:rsid w:val="00E50226"/>
    <w:rsid w:val="00E504D8"/>
    <w:rsid w:val="00E96F36"/>
    <w:rsid w:val="00EC34F9"/>
    <w:rsid w:val="00EE1B9D"/>
    <w:rsid w:val="00EE6B1F"/>
    <w:rsid w:val="00F2112B"/>
    <w:rsid w:val="00F2735D"/>
    <w:rsid w:val="00F308C5"/>
    <w:rsid w:val="00F81413"/>
    <w:rsid w:val="00F86438"/>
    <w:rsid w:val="00F8678C"/>
    <w:rsid w:val="00FA1309"/>
    <w:rsid w:val="00FC151E"/>
    <w:rsid w:val="00FD76C1"/>
    <w:rsid w:val="00FE024B"/>
    <w:rsid w:val="00FE4DCC"/>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render.com" TargetMode="External"/><Relationship Id="rId13" Type="http://schemas.openxmlformats.org/officeDocument/2006/relationships/image" Target="media/image5.png"/><Relationship Id="rId18" Type="http://schemas.microsoft.com/office/2016/09/relationships/commentsIds" Target="commentsIds.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1868</TotalTime>
  <Pages>73</Pages>
  <Words>15275</Words>
  <Characters>89671</Characters>
  <Application>Microsoft Office Word</Application>
  <DocSecurity>0</DocSecurity>
  <Lines>7472</Lines>
  <Paragraphs>6559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107</cp:revision>
  <dcterms:created xsi:type="dcterms:W3CDTF">2026-07-25T20:28:00Z</dcterms:created>
  <dcterms:modified xsi:type="dcterms:W3CDTF">2026-07-30T11:59:00Z</dcterms:modified>
</cp:coreProperties>
</file>