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30F3D" w14:textId="76B25AFA" w:rsidR="00F443F6" w:rsidRPr="006F77DA" w:rsidRDefault="00A9145E" w:rsidP="00F443F6">
      <w:pPr>
        <w:pStyle w:val="MDPI11articletype"/>
      </w:pPr>
      <w:r>
        <w:t>Article</w:t>
      </w:r>
    </w:p>
    <w:p w14:paraId="01FC9DCF" w14:textId="6C630768" w:rsidR="00F443F6" w:rsidRPr="006F77DA" w:rsidRDefault="00A9145E" w:rsidP="00F443F6">
      <w:pPr>
        <w:pStyle w:val="MDPI12title"/>
      </w:pPr>
      <w:r w:rsidRPr="00A9145E">
        <w:t>CAR-T response in DLBCL is shaped by the immune tumor microenvironment: integrative transcriptomic evidence</w:t>
      </w:r>
    </w:p>
    <w:p w14:paraId="533ED169" w14:textId="74D705A3" w:rsidR="00CF62FC" w:rsidRPr="00A9145E" w:rsidRDefault="00A9145E" w:rsidP="00F443F6">
      <w:pPr>
        <w:pStyle w:val="MDPI13authornames"/>
        <w:rPr>
          <w:lang w:val="pt-BR"/>
        </w:rPr>
      </w:pPr>
      <w:r w:rsidRPr="00A9145E">
        <w:rPr>
          <w:lang w:val="pt-BR"/>
        </w:rPr>
        <w:t>Jean Silva de Souza Resende</w:t>
      </w:r>
      <w:r w:rsidR="00F443F6" w:rsidRPr="00A9145E">
        <w:rPr>
          <w:lang w:val="pt-BR"/>
        </w:rPr>
        <w:t xml:space="preserve"> </w:t>
      </w:r>
      <w:r w:rsidR="00F443F6" w:rsidRPr="00A9145E">
        <w:rPr>
          <w:vertAlign w:val="superscript"/>
          <w:lang w:val="pt-BR"/>
        </w:rPr>
        <w:t>1</w:t>
      </w:r>
      <w:r w:rsidRPr="00A9145E">
        <w:rPr>
          <w:vertAlign w:val="superscript"/>
          <w:lang w:val="pt-BR"/>
        </w:rPr>
        <w:t>,2</w:t>
      </w:r>
      <w:r w:rsidR="009A6510">
        <w:rPr>
          <w:vertAlign w:val="superscript"/>
          <w:lang w:val="pt-BR"/>
        </w:rPr>
        <w:t>,3</w:t>
      </w:r>
      <w:r w:rsidR="00F443F6" w:rsidRPr="00A9145E">
        <w:rPr>
          <w:lang w:val="pt-BR"/>
        </w:rPr>
        <w:t xml:space="preserve">, </w:t>
      </w:r>
      <w:r w:rsidR="009A6510">
        <w:rPr>
          <w:lang w:val="pt-BR"/>
        </w:rPr>
        <w:t xml:space="preserve">Igor </w:t>
      </w:r>
      <w:proofErr w:type="spellStart"/>
      <w:r w:rsidR="009A6510">
        <w:rPr>
          <w:lang w:val="pt-BR"/>
        </w:rPr>
        <w:t>Samesima</w:t>
      </w:r>
      <w:proofErr w:type="spellEnd"/>
      <w:r w:rsidR="009A6510">
        <w:rPr>
          <w:lang w:val="pt-BR"/>
        </w:rPr>
        <w:t xml:space="preserve"> Giner</w:t>
      </w:r>
      <w:r w:rsidR="009A6510" w:rsidRPr="00A9145E">
        <w:rPr>
          <w:lang w:val="pt-BR"/>
        </w:rPr>
        <w:t xml:space="preserve"> </w:t>
      </w:r>
      <w:r w:rsidR="009A6510">
        <w:rPr>
          <w:vertAlign w:val="superscript"/>
          <w:lang w:val="pt-BR"/>
        </w:rPr>
        <w:t>1,2</w:t>
      </w:r>
      <w:r w:rsidR="009A6510">
        <w:rPr>
          <w:lang w:val="pt-BR"/>
        </w:rPr>
        <w:t>, Maria Gabriela Custódio Figueiredo</w:t>
      </w:r>
      <w:r w:rsidR="009A6510" w:rsidRPr="00A9145E">
        <w:rPr>
          <w:lang w:val="pt-BR"/>
        </w:rPr>
        <w:t xml:space="preserve"> </w:t>
      </w:r>
      <w:r w:rsidR="009A6510">
        <w:rPr>
          <w:vertAlign w:val="superscript"/>
          <w:lang w:val="pt-BR"/>
        </w:rPr>
        <w:t>1</w:t>
      </w:r>
      <w:r w:rsidR="009A6510">
        <w:rPr>
          <w:lang w:val="pt-BR"/>
        </w:rPr>
        <w:t>, Mariana Martins Paraízo</w:t>
      </w:r>
      <w:r w:rsidR="009A6510" w:rsidRPr="00A9145E">
        <w:rPr>
          <w:lang w:val="pt-BR"/>
        </w:rPr>
        <w:t xml:space="preserve"> </w:t>
      </w:r>
      <w:r w:rsidR="009A6510">
        <w:rPr>
          <w:vertAlign w:val="superscript"/>
          <w:lang w:val="pt-BR"/>
        </w:rPr>
        <w:t>1</w:t>
      </w:r>
      <w:r w:rsidR="009A6510">
        <w:rPr>
          <w:lang w:val="pt-BR"/>
        </w:rPr>
        <w:t>, Enzo Lalli</w:t>
      </w:r>
      <w:r w:rsidR="009A6510" w:rsidRPr="00A9145E">
        <w:rPr>
          <w:lang w:val="pt-BR"/>
        </w:rPr>
        <w:t xml:space="preserve"> </w:t>
      </w:r>
      <w:r w:rsidR="009A6510">
        <w:rPr>
          <w:vertAlign w:val="superscript"/>
          <w:lang w:val="pt-BR"/>
        </w:rPr>
        <w:t>4</w:t>
      </w:r>
      <w:r w:rsidR="009A6510">
        <w:rPr>
          <w:lang w:val="pt-BR"/>
        </w:rPr>
        <w:t>, Mauro Antônio Alves Castro</w:t>
      </w:r>
      <w:r w:rsidR="00F443F6" w:rsidRPr="00A9145E">
        <w:rPr>
          <w:lang w:val="pt-BR"/>
        </w:rPr>
        <w:t xml:space="preserve"> </w:t>
      </w:r>
      <w:r w:rsidR="009A6510">
        <w:rPr>
          <w:vertAlign w:val="superscript"/>
          <w:lang w:val="pt-BR"/>
        </w:rPr>
        <w:t>3</w:t>
      </w:r>
      <w:r w:rsidR="00F443F6" w:rsidRPr="00A9145E">
        <w:rPr>
          <w:lang w:val="pt-BR"/>
        </w:rPr>
        <w:t xml:space="preserve"> </w:t>
      </w:r>
      <w:proofErr w:type="spellStart"/>
      <w:r w:rsidR="009A6510">
        <w:rPr>
          <w:lang w:val="pt-BR"/>
        </w:rPr>
        <w:t>and</w:t>
      </w:r>
      <w:proofErr w:type="spellEnd"/>
      <w:r w:rsidR="009A6510">
        <w:rPr>
          <w:lang w:val="pt-BR"/>
        </w:rPr>
        <w:t xml:space="preserve"> </w:t>
      </w:r>
      <w:proofErr w:type="spellStart"/>
      <w:r w:rsidR="009A6510">
        <w:rPr>
          <w:lang w:val="pt-BR"/>
        </w:rPr>
        <w:t>Bonald</w:t>
      </w:r>
      <w:proofErr w:type="spellEnd"/>
      <w:r w:rsidR="009A6510">
        <w:rPr>
          <w:lang w:val="pt-BR"/>
        </w:rPr>
        <w:t xml:space="preserve"> Cavalcante de Figueiredo</w:t>
      </w:r>
      <w:r w:rsidR="00F443F6" w:rsidRPr="00A9145E">
        <w:rPr>
          <w:lang w:val="pt-BR"/>
        </w:rPr>
        <w:t xml:space="preserve"> </w:t>
      </w:r>
      <w:r w:rsidR="009A6510">
        <w:rPr>
          <w:vertAlign w:val="superscript"/>
          <w:lang w:val="pt-BR"/>
        </w:rPr>
        <w:t>1,2</w:t>
      </w:r>
      <w:r w:rsidR="00F443F6" w:rsidRPr="00A9145E">
        <w:rPr>
          <w:lang w:val="pt-BR"/>
        </w:rPr>
        <w:t>*</w:t>
      </w:r>
    </w:p>
    <w:tbl>
      <w:tblPr>
        <w:tblpPr w:leftFromText="198" w:rightFromText="198" w:vertAnchor="page" w:horzAnchor="margin" w:tblpY="12541"/>
        <w:tblW w:w="2410" w:type="dxa"/>
        <w:tblLayout w:type="fixed"/>
        <w:tblCellMar>
          <w:left w:w="0" w:type="dxa"/>
          <w:right w:w="0" w:type="dxa"/>
        </w:tblCellMar>
        <w:tblLook w:val="04A0" w:firstRow="1" w:lastRow="0" w:firstColumn="1" w:lastColumn="0" w:noHBand="0" w:noVBand="1"/>
      </w:tblPr>
      <w:tblGrid>
        <w:gridCol w:w="2410"/>
      </w:tblGrid>
      <w:tr w:rsidR="00CF62FC" w:rsidRPr="006F77DA" w14:paraId="7CD889DF" w14:textId="77777777" w:rsidTr="000E60BC">
        <w:tc>
          <w:tcPr>
            <w:tcW w:w="2410" w:type="dxa"/>
          </w:tcPr>
          <w:p w14:paraId="2BF4805D" w14:textId="77777777" w:rsidR="00CF62FC" w:rsidRPr="006F77DA" w:rsidRDefault="00CF62FC" w:rsidP="000E60BC">
            <w:pPr>
              <w:pStyle w:val="MDPI15academiceditor"/>
              <w:spacing w:before="0" w:after="120"/>
            </w:pPr>
            <w:r w:rsidRPr="006F77DA">
              <w:t xml:space="preserve">Academic Editor: </w:t>
            </w:r>
            <w:proofErr w:type="spellStart"/>
            <w:r w:rsidRPr="006F77DA">
              <w:t>Firstname</w:t>
            </w:r>
            <w:proofErr w:type="spellEnd"/>
            <w:r w:rsidRPr="006F77DA">
              <w:t xml:space="preserve"> Lastname</w:t>
            </w:r>
          </w:p>
          <w:p w14:paraId="5DED4ABF" w14:textId="77777777" w:rsidR="00CF62FC" w:rsidRPr="006F77DA" w:rsidRDefault="00CF62FC" w:rsidP="000E60BC">
            <w:pPr>
              <w:pStyle w:val="MDPI14history"/>
              <w:spacing w:before="120"/>
            </w:pPr>
            <w:r w:rsidRPr="006F77DA">
              <w:t>Received: date</w:t>
            </w:r>
          </w:p>
          <w:p w14:paraId="73596EDB" w14:textId="77777777" w:rsidR="00CF62FC" w:rsidRPr="006F77DA" w:rsidRDefault="00CF62FC" w:rsidP="000E60BC">
            <w:pPr>
              <w:pStyle w:val="MDPI14history"/>
            </w:pPr>
            <w:r w:rsidRPr="006F77DA">
              <w:t>Revised: date</w:t>
            </w:r>
          </w:p>
          <w:p w14:paraId="48FEAFDC" w14:textId="77777777" w:rsidR="00CF62FC" w:rsidRPr="006F77DA" w:rsidRDefault="00CF62FC" w:rsidP="000E60BC">
            <w:pPr>
              <w:pStyle w:val="MDPI14history"/>
            </w:pPr>
            <w:r w:rsidRPr="006F77DA">
              <w:t>Accepted: date</w:t>
            </w:r>
          </w:p>
          <w:p w14:paraId="6DAD5EC4" w14:textId="77777777" w:rsidR="00CF62FC" w:rsidRPr="006F77DA" w:rsidRDefault="00CF62FC" w:rsidP="000E60BC">
            <w:pPr>
              <w:pStyle w:val="MDPI14history"/>
              <w:spacing w:after="120"/>
            </w:pPr>
            <w:r w:rsidRPr="006F77DA">
              <w:t>Published: date</w:t>
            </w:r>
          </w:p>
          <w:p w14:paraId="2F1968DC" w14:textId="77777777" w:rsidR="00CF62FC" w:rsidRPr="006F77DA" w:rsidRDefault="00CF62FC" w:rsidP="000E60BC">
            <w:pPr>
              <w:pStyle w:val="MDPI72copyright"/>
              <w:rPr>
                <w:rFonts w:eastAsia="DengXian"/>
                <w:noProof w:val="0"/>
                <w:lang w:val="en-US" w:bidi="en-US"/>
              </w:rPr>
            </w:pPr>
            <w:r w:rsidRPr="006F77DA">
              <w:rPr>
                <w:rFonts w:eastAsia="DengXian"/>
                <w:b/>
                <w:noProof w:val="0"/>
                <w:lang w:val="en-US" w:bidi="en-US"/>
              </w:rPr>
              <w:t>Copyright:</w:t>
            </w:r>
            <w:r w:rsidRPr="006F77DA">
              <w:rPr>
                <w:rFonts w:eastAsia="DengXian"/>
                <w:noProof w:val="0"/>
                <w:lang w:val="en-US" w:bidi="en-US"/>
              </w:rPr>
              <w:t xml:space="preserve"> © </w:t>
            </w:r>
            <w:r>
              <w:rPr>
                <w:rFonts w:eastAsia="DengXian"/>
                <w:noProof w:val="0"/>
                <w:lang w:val="en-US" w:bidi="en-US"/>
              </w:rPr>
              <w:t>2026</w:t>
            </w:r>
            <w:r w:rsidRPr="006F77DA">
              <w:rPr>
                <w:rFonts w:eastAsia="DengXian"/>
                <w:noProof w:val="0"/>
                <w:lang w:val="en-US" w:bidi="en-US"/>
              </w:rPr>
              <w:t xml:space="preserve"> by the authors. Submitted for possible open access publication under the terms and conditions of the </w:t>
            </w:r>
            <w:hyperlink r:id="rId8" w:history="1">
              <w:r w:rsidRPr="00CF62FC">
                <w:rPr>
                  <w:rStyle w:val="Hyperlink"/>
                  <w:rFonts w:eastAsia="DengXian"/>
                  <w:noProof w:val="0"/>
                  <w:u w:val="none"/>
                  <w:lang w:val="en-US" w:bidi="en-US"/>
                </w:rPr>
                <w:t>Creative Commons Attribution (CC BY) license</w:t>
              </w:r>
            </w:hyperlink>
            <w:r>
              <w:rPr>
                <w:rFonts w:eastAsia="DengXian"/>
                <w:noProof w:val="0"/>
                <w:lang w:val="en-US" w:bidi="en-US"/>
              </w:rPr>
              <w:t>.</w:t>
            </w:r>
          </w:p>
        </w:tc>
      </w:tr>
    </w:tbl>
    <w:p w14:paraId="1A2E3AEE" w14:textId="407FEC7C" w:rsidR="00F443F6" w:rsidRDefault="00923126" w:rsidP="00F443F6">
      <w:pPr>
        <w:pStyle w:val="MDPI16affiliation"/>
        <w:rPr>
          <w:lang w:val="pt-BR"/>
        </w:rPr>
      </w:pPr>
      <w:r w:rsidRPr="009A6510">
        <w:rPr>
          <w:vertAlign w:val="superscript"/>
          <w:lang w:val="pt-BR"/>
        </w:rPr>
        <w:t>1</w:t>
      </w:r>
      <w:r w:rsidR="00F443F6" w:rsidRPr="009A6510">
        <w:rPr>
          <w:lang w:val="pt-BR"/>
        </w:rPr>
        <w:tab/>
      </w:r>
      <w:proofErr w:type="spellStart"/>
      <w:r w:rsidR="009A6510" w:rsidRPr="009A6510">
        <w:rPr>
          <w:lang w:val="pt-BR"/>
        </w:rPr>
        <w:t>Oncology</w:t>
      </w:r>
      <w:proofErr w:type="spellEnd"/>
      <w:r w:rsidR="009A6510" w:rsidRPr="009A6510">
        <w:rPr>
          <w:lang w:val="pt-BR"/>
        </w:rPr>
        <w:t xml:space="preserve"> Division, Instituto de Pesquisa e Faculdades Pelé Pequeno Príncipe, Curitiba, PR, 80250-060, </w:t>
      </w:r>
      <w:proofErr w:type="spellStart"/>
      <w:r w:rsidR="009A6510" w:rsidRPr="009A6510">
        <w:rPr>
          <w:lang w:val="pt-BR"/>
        </w:rPr>
        <w:t>Brazil</w:t>
      </w:r>
      <w:proofErr w:type="spellEnd"/>
    </w:p>
    <w:p w14:paraId="37D0313A" w14:textId="61D86995" w:rsidR="009A6510" w:rsidRPr="003D0469" w:rsidRDefault="009A6510" w:rsidP="009A6510">
      <w:pPr>
        <w:pStyle w:val="MDPI16affiliation"/>
        <w:rPr>
          <w:lang w:val="pt-BR"/>
        </w:rPr>
      </w:pPr>
      <w:r w:rsidRPr="003D0469">
        <w:rPr>
          <w:vertAlign w:val="superscript"/>
          <w:lang w:val="pt-BR"/>
        </w:rPr>
        <w:t>2</w:t>
      </w:r>
      <w:r w:rsidRPr="003D0469">
        <w:rPr>
          <w:lang w:val="pt-BR"/>
        </w:rPr>
        <w:tab/>
      </w:r>
      <w:r w:rsidR="003D0469" w:rsidRPr="003D0469">
        <w:rPr>
          <w:lang w:val="pt-BR"/>
        </w:rPr>
        <w:t xml:space="preserve">Faculdades Pequeno Príncipe, Curitiba, PR, 80230-020, </w:t>
      </w:r>
      <w:proofErr w:type="spellStart"/>
      <w:r w:rsidR="003D0469" w:rsidRPr="003D0469">
        <w:rPr>
          <w:lang w:val="pt-BR"/>
        </w:rPr>
        <w:t>Brazil</w:t>
      </w:r>
      <w:proofErr w:type="spellEnd"/>
    </w:p>
    <w:p w14:paraId="26A72841" w14:textId="77777777" w:rsidR="003D0469" w:rsidRDefault="009A6510" w:rsidP="00F443F6">
      <w:pPr>
        <w:pStyle w:val="MDPI16affiliation"/>
      </w:pPr>
      <w:r>
        <w:rPr>
          <w:vertAlign w:val="superscript"/>
        </w:rPr>
        <w:t>3</w:t>
      </w:r>
      <w:r w:rsidRPr="006F77DA">
        <w:tab/>
      </w:r>
      <w:r w:rsidRPr="009A6510">
        <w:t>Bioinformatics and Systems Biology Laboratory, Federal University of Paraná, Curitiba, PR, 81531-980, Brazil</w:t>
      </w:r>
    </w:p>
    <w:p w14:paraId="237A7A5E" w14:textId="77777777" w:rsidR="003D0469" w:rsidRDefault="009A6510" w:rsidP="003D0469">
      <w:pPr>
        <w:pStyle w:val="MDPI16affiliation"/>
        <w:rPr>
          <w:lang w:val="pt-BR"/>
        </w:rPr>
      </w:pPr>
      <w:r w:rsidRPr="003D0469">
        <w:rPr>
          <w:vertAlign w:val="superscript"/>
          <w:lang w:val="pt-BR"/>
        </w:rPr>
        <w:t>4</w:t>
      </w:r>
      <w:r w:rsidR="00F443F6" w:rsidRPr="003D0469">
        <w:rPr>
          <w:lang w:val="pt-BR"/>
        </w:rPr>
        <w:tab/>
      </w:r>
      <w:r w:rsidR="003D0469" w:rsidRPr="003D0469">
        <w:rPr>
          <w:lang w:val="pt-BR"/>
        </w:rPr>
        <w:t xml:space="preserve">Institut de </w:t>
      </w:r>
      <w:proofErr w:type="spellStart"/>
      <w:r w:rsidR="003D0469" w:rsidRPr="003D0469">
        <w:rPr>
          <w:lang w:val="pt-BR"/>
        </w:rPr>
        <w:t>Pharmacologie</w:t>
      </w:r>
      <w:proofErr w:type="spellEnd"/>
      <w:r w:rsidR="003D0469" w:rsidRPr="003D0469">
        <w:rPr>
          <w:lang w:val="pt-BR"/>
        </w:rPr>
        <w:t xml:space="preserve"> </w:t>
      </w:r>
      <w:proofErr w:type="spellStart"/>
      <w:r w:rsidR="003D0469" w:rsidRPr="003D0469">
        <w:rPr>
          <w:lang w:val="pt-BR"/>
        </w:rPr>
        <w:t>Moléculaire</w:t>
      </w:r>
      <w:proofErr w:type="spellEnd"/>
      <w:r w:rsidR="003D0469" w:rsidRPr="003D0469">
        <w:rPr>
          <w:lang w:val="pt-BR"/>
        </w:rPr>
        <w:t xml:space="preserve"> et </w:t>
      </w:r>
      <w:proofErr w:type="spellStart"/>
      <w:r w:rsidR="003D0469" w:rsidRPr="003D0469">
        <w:rPr>
          <w:lang w:val="pt-BR"/>
        </w:rPr>
        <w:t>Cellulaire</w:t>
      </w:r>
      <w:proofErr w:type="spellEnd"/>
      <w:r w:rsidR="003D0469" w:rsidRPr="003D0469">
        <w:rPr>
          <w:lang w:val="pt-BR"/>
        </w:rPr>
        <w:t xml:space="preserve"> CNRS UMR7275, </w:t>
      </w:r>
      <w:proofErr w:type="spellStart"/>
      <w:r w:rsidR="003D0469" w:rsidRPr="003D0469">
        <w:rPr>
          <w:lang w:val="pt-BR"/>
        </w:rPr>
        <w:t>Inserm</w:t>
      </w:r>
      <w:proofErr w:type="spellEnd"/>
      <w:r w:rsidR="003D0469" w:rsidRPr="003D0469">
        <w:rPr>
          <w:lang w:val="pt-BR"/>
        </w:rPr>
        <w:t xml:space="preserve"> U1323,</w:t>
      </w:r>
    </w:p>
    <w:p w14:paraId="7A978D4E" w14:textId="2CDB0E20" w:rsidR="00F443F6" w:rsidRPr="006F77DA" w:rsidRDefault="003D0469" w:rsidP="003D0469">
      <w:pPr>
        <w:pStyle w:val="MDPI16affiliation"/>
      </w:pPr>
      <w:r>
        <w:rPr>
          <w:lang w:val="pt-BR"/>
        </w:rPr>
        <w:tab/>
      </w:r>
      <w:r>
        <w:t xml:space="preserve">Université Côte d’Azur, 06560 </w:t>
      </w:r>
      <w:proofErr w:type="spellStart"/>
      <w:r>
        <w:t>Valbonne</w:t>
      </w:r>
      <w:proofErr w:type="spellEnd"/>
      <w:r>
        <w:t>, France</w:t>
      </w:r>
    </w:p>
    <w:p w14:paraId="2314E92A" w14:textId="29EB75DE" w:rsidR="00F443F6" w:rsidRPr="006F77DA" w:rsidRDefault="00F443F6" w:rsidP="00F443F6">
      <w:pPr>
        <w:pStyle w:val="MDPI16affiliation"/>
      </w:pPr>
      <w:r w:rsidRPr="006F77DA">
        <w:rPr>
          <w:b/>
        </w:rPr>
        <w:t>*</w:t>
      </w:r>
      <w:r w:rsidRPr="006F77DA">
        <w:tab/>
        <w:t xml:space="preserve">Correspondence: </w:t>
      </w:r>
      <w:r w:rsidR="003D0469" w:rsidRPr="003D0469">
        <w:t>bonald.figueiredo@professor.fpp.edu.br (B.C.F.)</w:t>
      </w:r>
    </w:p>
    <w:p w14:paraId="7441C599" w14:textId="77777777" w:rsidR="003A6C1D" w:rsidRPr="003A6C1D" w:rsidRDefault="00137CAA" w:rsidP="003A6C1D">
      <w:pPr>
        <w:pStyle w:val="MDPI17abstract"/>
        <w:jc w:val="left"/>
        <w:rPr>
          <w:b/>
          <w:szCs w:val="18"/>
        </w:rPr>
      </w:pPr>
      <w:r w:rsidRPr="003A6C1D">
        <w:rPr>
          <w:b/>
          <w:szCs w:val="18"/>
        </w:rPr>
        <w:t>Abstract</w:t>
      </w:r>
    </w:p>
    <w:p w14:paraId="1A467A84" w14:textId="3B016864" w:rsidR="00137CAA" w:rsidRPr="006F77DA" w:rsidRDefault="00A04A22" w:rsidP="003A6C1D">
      <w:pPr>
        <w:pStyle w:val="MDPI17abstract"/>
        <w:spacing w:before="0" w:after="0"/>
        <w:rPr>
          <w:rFonts w:eastAsiaTheme="minorEastAsia"/>
          <w:szCs w:val="18"/>
          <w:lang w:eastAsia="zh-CN"/>
        </w:rPr>
      </w:pPr>
      <w:r w:rsidRPr="00A04A22">
        <w:rPr>
          <w:b/>
          <w:bCs/>
        </w:rPr>
        <w:t>Background/Objectives</w:t>
      </w:r>
      <w:r w:rsidRPr="00A04A22">
        <w:t>: Anti-CD19 CAR T-cell therapy (</w:t>
      </w:r>
      <w:proofErr w:type="spellStart"/>
      <w:r w:rsidRPr="00A04A22">
        <w:t>axi</w:t>
      </w:r>
      <w:proofErr w:type="spellEnd"/>
      <w:r w:rsidRPr="00A04A22">
        <w:t xml:space="preserve">-cel) has transformed relapsed/refractory diffuse large B-cell lymphoma (DLBCL) treatment. However, since therapeutic failure frequently occurs in tumors retaining CD19 expression, this study aimed to investigate the intrinsic and microenvironmental transcriptomic determinants of resistance to </w:t>
      </w:r>
      <w:proofErr w:type="spellStart"/>
      <w:r w:rsidRPr="00A04A22">
        <w:t>axi</w:t>
      </w:r>
      <w:proofErr w:type="spellEnd"/>
      <w:r w:rsidRPr="00A04A22">
        <w:t xml:space="preserve">-cel beyond classical antigen escape. </w:t>
      </w:r>
      <w:r w:rsidRPr="00A04A22">
        <w:rPr>
          <w:b/>
          <w:bCs/>
        </w:rPr>
        <w:t>Methods</w:t>
      </w:r>
      <w:r w:rsidRPr="00A04A22">
        <w:t xml:space="preserve">: We performed an integrative analysis of baseline targeted transcriptomic data from the pivotal ZUMA-1 and ZUMA-7 clinical trials using differential gene expression and survival analyses. To determine treatment-context specificity, the candidate evasion signatures were systematically cross-evaluated against the ZUMA-7 standard-of-care salvage chemotherapy arm and an independent first-line cohort (TCGA-DLBC). </w:t>
      </w:r>
      <w:r w:rsidRPr="00A04A22">
        <w:rPr>
          <w:b/>
          <w:bCs/>
        </w:rPr>
        <w:t>Results</w:t>
      </w:r>
      <w:r w:rsidRPr="00A04A22">
        <w:t xml:space="preserve">: Baseline T-cell exhaustion signatures and global HLA downregulation did not independently stratify </w:t>
      </w:r>
      <w:proofErr w:type="spellStart"/>
      <w:r w:rsidRPr="00A04A22">
        <w:t>axi</w:t>
      </w:r>
      <w:proofErr w:type="spellEnd"/>
      <w:r w:rsidRPr="00A04A22">
        <w:t>-cel response. Instead, therapeutic sensitivity was associated with preserved B-cell lineage phenotypic integrity (</w:t>
      </w:r>
      <w:r w:rsidRPr="001A6E76">
        <w:rPr>
          <w:i/>
          <w:iCs/>
        </w:rPr>
        <w:t>CD19</w:t>
      </w:r>
      <w:r w:rsidRPr="00A04A22">
        <w:t xml:space="preserve">, </w:t>
      </w:r>
      <w:r w:rsidRPr="001A6E76">
        <w:rPr>
          <w:i/>
          <w:iCs/>
        </w:rPr>
        <w:t>MS4A1</w:t>
      </w:r>
      <w:r w:rsidRPr="00A04A22">
        <w:t xml:space="preserve">, </w:t>
      </w:r>
      <w:r w:rsidRPr="001A6E76">
        <w:rPr>
          <w:i/>
          <w:iCs/>
        </w:rPr>
        <w:t>TNFRSF17</w:t>
      </w:r>
      <w:r w:rsidRPr="00A04A22">
        <w:t>) and transcriptional competence (IRF8). Conversely, early CAR T-cell escape correlated with tumor dedifferentiation, EMT-like tissue-remodeling programs, altered cellular adhesion (</w:t>
      </w:r>
      <w:r w:rsidRPr="001A6E76">
        <w:rPr>
          <w:i/>
          <w:iCs/>
        </w:rPr>
        <w:t>CDH2</w:t>
      </w:r>
      <w:r w:rsidRPr="00A04A22">
        <w:t xml:space="preserve">, </w:t>
      </w:r>
      <w:r w:rsidRPr="001A6E76">
        <w:rPr>
          <w:i/>
          <w:iCs/>
        </w:rPr>
        <w:t>NCAM1</w:t>
      </w:r>
      <w:r w:rsidRPr="00A04A22">
        <w:t>), and immune-excluding chemotaxis (</w:t>
      </w:r>
      <w:r w:rsidRPr="001A6E76">
        <w:rPr>
          <w:i/>
          <w:iCs/>
        </w:rPr>
        <w:t>CCL20</w:t>
      </w:r>
      <w:r w:rsidRPr="00A04A22">
        <w:t xml:space="preserve">). Cross-cohort evaluation confirmed most risk markers were predominantly associated with cellular immunotherapy failure, whereas </w:t>
      </w:r>
      <w:r w:rsidRPr="001A6E76">
        <w:rPr>
          <w:i/>
          <w:iCs/>
        </w:rPr>
        <w:t>WNT11</w:t>
      </w:r>
      <w:r w:rsidRPr="00A04A22">
        <w:t xml:space="preserve"> emerged as a pan-prognostic marker of broad tumor aggressiveness. Finally, bulk abundance of infiltrating immune and stromal populations did not independently predict clinical outcomes. </w:t>
      </w:r>
      <w:r w:rsidRPr="00A04A22">
        <w:rPr>
          <w:b/>
          <w:bCs/>
        </w:rPr>
        <w:t>Conclusions</w:t>
      </w:r>
      <w:r w:rsidRPr="00A04A22">
        <w:t xml:space="preserve">: Early resistance to </w:t>
      </w:r>
      <w:proofErr w:type="spellStart"/>
      <w:r w:rsidRPr="00A04A22">
        <w:t>axi</w:t>
      </w:r>
      <w:proofErr w:type="spellEnd"/>
      <w:r w:rsidRPr="00A04A22">
        <w:t>-cel in DLBCL reflects malignant-clone phenotypic plasticity, loss of lymphoid identity, and aberrant tissue remodeling rather than classical immune deprivation alone. These candidate pathways provide a framework for further biomarker validation and identify biological targets for rational combination strategies</w:t>
      </w:r>
      <w:r w:rsidR="003D0469" w:rsidRPr="003D0469">
        <w:t>.</w:t>
      </w:r>
    </w:p>
    <w:p w14:paraId="1CD6DE37" w14:textId="110A5FDA" w:rsidR="00F443F6" w:rsidRPr="006F77DA" w:rsidRDefault="00F443F6" w:rsidP="000852E9">
      <w:pPr>
        <w:pStyle w:val="MDPI18keywords"/>
        <w:rPr>
          <w:szCs w:val="18"/>
        </w:rPr>
      </w:pPr>
      <w:r w:rsidRPr="006F77DA">
        <w:rPr>
          <w:b/>
          <w:szCs w:val="18"/>
        </w:rPr>
        <w:t xml:space="preserve">Keywords: </w:t>
      </w:r>
      <w:r w:rsidR="00A04A22" w:rsidRPr="00A04A22">
        <w:rPr>
          <w:szCs w:val="18"/>
        </w:rPr>
        <w:t xml:space="preserve">diffuse large B-cell lymphoma; CAR T-cell therapy; </w:t>
      </w:r>
      <w:proofErr w:type="spellStart"/>
      <w:r w:rsidR="00A04A22" w:rsidRPr="00A04A22">
        <w:rPr>
          <w:szCs w:val="18"/>
        </w:rPr>
        <w:t>axi</w:t>
      </w:r>
      <w:proofErr w:type="spellEnd"/>
      <w:r w:rsidR="00A04A22" w:rsidRPr="00A04A22">
        <w:rPr>
          <w:szCs w:val="18"/>
        </w:rPr>
        <w:t>-cel; transcriptomics; tumor microenvironment; treatment resistance; phenotypic plasticity; biomarkers</w:t>
      </w:r>
    </w:p>
    <w:p w14:paraId="7A17A9A9" w14:textId="77777777" w:rsidR="00F443F6" w:rsidRPr="006F77DA" w:rsidRDefault="00F443F6" w:rsidP="000852E9">
      <w:pPr>
        <w:pStyle w:val="MDPI19line"/>
      </w:pPr>
    </w:p>
    <w:p w14:paraId="259CC0A6" w14:textId="77777777" w:rsidR="00F443F6" w:rsidRPr="006F77DA" w:rsidRDefault="00F443F6" w:rsidP="000852E9">
      <w:pPr>
        <w:pStyle w:val="MDPI21heading1"/>
      </w:pPr>
      <w:r w:rsidRPr="006F77DA">
        <w:t>1. Introduction</w:t>
      </w:r>
    </w:p>
    <w:p w14:paraId="72F98429" w14:textId="77777777" w:rsidR="001D4C75" w:rsidRDefault="001D4C75" w:rsidP="000852E9">
      <w:pPr>
        <w:pStyle w:val="MDPI31text"/>
      </w:pPr>
    </w:p>
    <w:p w14:paraId="19EAD817" w14:textId="77777777" w:rsidR="00970699" w:rsidRDefault="001D4C75" w:rsidP="000852E9">
      <w:pPr>
        <w:pStyle w:val="MDPI31text"/>
      </w:pPr>
      <w:r w:rsidRPr="001D4C75">
        <w:lastRenderedPageBreak/>
        <w:t>Diffuse large B-cell lymphoma (DLBCL) is the most common aggressive non-Hodgkin lymphoma in adults and is characterized by substantial biological and clinical heterogeneity. Despite major advances with first-line rituximab-based chemoimmunotherapy (R-CHOP), approximately 30-40% of patients develop relapsed or refractory (r/r) disease, which has historically been associated with a dismal prognosis and limited treatment options</w:t>
      </w:r>
      <w:r>
        <w:t xml:space="preserve"> </w:t>
      </w:r>
      <w:r>
        <w:fldChar w:fldCharType="begin"/>
      </w:r>
      <w:r w:rsidR="00970699">
        <w:instrText xml:space="preserve"> ADDIN ZOTERO_ITEM CSL_CITATION {"citationID":"oUe3UvqB","properties":{"unsorted":false,"formattedCitation":"[1,2]","plainCitation":"[1,2]","noteIndex":0},"citationItems":[{"id":713,"uris":["http://zotero.org/users/17472926/items/6P65X2GR"],"itemData":{"id":713,"type":"article-journal","abstract":"Key Points\n            SCHOLAR-1 is the first patient-level analysis of outcomes of refractory DLBCL from 2 large randomized trials and 2 academic databases. SCHOLAR-1 demonstrated poor outcomes in patients with refractory DLBCL, supporting a need for more effective therapies for these patients.","container-title":"Blood","DOI":"10.1182/blood-2017-03-769620","ISSN":"0006-4971, 1528-0020","issue":"16","language":"en","page":"1800-1808","source":"DOI.org (Crossref)","title":"Outcomes in refractory diffuse large B-cell lymphoma: results from the international SCHOLAR-1 study","title-short":"Outcomes in refractory diffuse large B-cell lymphoma","volume":"130","author":[{"family":"Crump","given":"Michael"},{"family":"Neelapu","given":"Sattva S."},{"family":"Farooq","given":"Umar"},{"family":"Van Den Neste","given":"Eric"},{"family":"Kuruvilla","given":"John"},{"family":"Westin","given":"Jason"},{"family":"Link","given":"Brian K."},{"family":"Hay","given":"Annette"},{"family":"Cerhan","given":"James R."},{"family":"Zhu","given":"Liting"},{"family":"Boussetta","given":"Sami"},{"family":"Feng","given":"Lei"},{"family":"Maurer","given":"Matthew J."},{"family":"Navale","given":"Lynn"},{"family":"Wiezorek","given":"Jeff"},{"family":"Go","given":"William Y."},{"family":"Gisselbrecht","given":"Christian"}],"issued":{"date-parts":[["2017",10,19]]}}},{"id":697,"uris":["http://zotero.org/users/17472926/items/QTGJSZ4N"],"itemData":{"id":697,"type":"article-journal","abstract":"Large B-cell lymphomas, with an estimated 150,000 new cases annually worldwide, represent almost 30% of all cases of non-Hodgkin’s lymphoma. Patients typically present with progressive lymphadenopathy, extranodal disease, or both and require therapy. Despite the advanced stage at presentation in the majority of patients, more than 60% can be cured with R-CHOP (rituximab, cyclophosphamide, doxorubicin, vincristine, and prednisone) immunochemotherapy (Fig. 1A). Patients with treatment failure after R-CHOP often have a poor outcome — in particular, those with disease that is refractory to frontline or subsequent therapies — although some patients can have a durable remission and be cured after secondary therapies. Over the past two decades, improved insights into large B-cell lymphomas, in terms of epidemiology, prognostic factors, and biologic heterogeneity, have led to a refinement of disease classification and the development of new therapeutic approaches.","container-title":"The New England Journal of Medicine","DOI":"10.1056/NEJMra2027612","ISSN":"1533-4406","issue":"9","journalAbbreviation":"N Engl J Med","language":"eng","page":"842-858","PMID":"33657296","PMCID":"PMC8377611","source":"PubMed","title":"Diffuse Large B-Cell Lymphoma","volume":"384","author":[{"family":"Sehn","given":"Laurie H."},{"family":"Salles","given":"Gilles"}],"issued":{"date-parts":[["2021",3,4]]}}}],"schema":"https://github.com/citation-style-language/schema/raw/master/csl-citation.json"} </w:instrText>
      </w:r>
      <w:r>
        <w:fldChar w:fldCharType="separate"/>
      </w:r>
      <w:r w:rsidR="00970699" w:rsidRPr="00970699">
        <w:t>[1,2]</w:t>
      </w:r>
      <w:r>
        <w:fldChar w:fldCharType="end"/>
      </w:r>
      <w:r w:rsidR="00970699">
        <w:t xml:space="preserve">. </w:t>
      </w:r>
      <w:r w:rsidR="00970699" w:rsidRPr="00970699">
        <w:t xml:space="preserve">Following failure of first-line therapy, CD19-directed chimeric antigen receptor (CAR) T-cell therapies, including </w:t>
      </w:r>
      <w:proofErr w:type="spellStart"/>
      <w:r w:rsidR="00970699" w:rsidRPr="00970699">
        <w:t>axicabtagene</w:t>
      </w:r>
      <w:proofErr w:type="spellEnd"/>
      <w:r w:rsidR="00970699" w:rsidRPr="00970699">
        <w:t xml:space="preserve"> </w:t>
      </w:r>
      <w:proofErr w:type="spellStart"/>
      <w:r w:rsidR="00970699" w:rsidRPr="00970699">
        <w:t>ciloleucel</w:t>
      </w:r>
      <w:proofErr w:type="spellEnd"/>
      <w:r w:rsidR="00970699" w:rsidRPr="00970699">
        <w:t xml:space="preserve"> (</w:t>
      </w:r>
      <w:proofErr w:type="spellStart"/>
      <w:r w:rsidR="00970699" w:rsidRPr="00970699">
        <w:t>axi</w:t>
      </w:r>
      <w:proofErr w:type="spellEnd"/>
      <w:r w:rsidR="00970699" w:rsidRPr="00970699">
        <w:t>-cel), have transformed the therapeutic landscape by inducing durable remissions in a subset of patients</w:t>
      </w:r>
      <w:r w:rsidR="00970699">
        <w:t xml:space="preserve"> </w:t>
      </w:r>
      <w:r w:rsidR="00970699">
        <w:fldChar w:fldCharType="begin"/>
      </w:r>
      <w:r w:rsidR="00970699">
        <w:instrText xml:space="preserve"> ADDIN ZOTERO_ITEM CSL_CITATION {"citationID":"FT1HFEGb","properties":{"unsorted":false,"formattedCitation":"[3,4]","plainCitation":"[3,4]","noteIndex":0},"citationItems":[{"id":703,"uris":["http://zotero.org/users/17472926/items/QQH9CEI8"],"itemData":{"id":703,"type":"article-journal","abstract":"In a trial involving patients with relapsed or refractory large B-cell lymphoma, the CAR T-cell therapy axicabtagene ciloleucel led to significantly longer event-free survival than standard salvage chemotherapy (which was followed by high-dose therapy and autologous stem-cell transplantation in patients with a response). High-grade toxic effects were common, but most patients recovered.","container-title":"New England Journal of Medicine","DOI":"10.1056/NEJMoa2116133","ISSN":"0028-4793","issue":"7","note":"_eprint: https://www.nejm.org/doi/pdf/10.1056/NEJMoa2116133","page":"640-654","publisher":"Massachusetts Medical Society","source":"Taylor and Francis+NEJM","title":"Axicabtagene Ciloleucel as Second-Line Therapy for Large B-Cell Lymphoma","volume":"386","author":[{"family":"Locke","given":"Frederick L."},{"family":"Miklos","given":"David B."},{"family":"Jacobson","given":"Caron A."},{"family":"Perales","given":"Miguel-Angel"},{"family":"Kersten","given":"Marie-José"},{"family":"Oluwole","given":"Olalekan O."},{"family":"Ghobadi","given":"Armin"},{"family":"Rapoport","given":"Aaron P."},{"family":"McGuirk","given":"Joseph"},{"family":"Pagel","given":"John M."},{"family":"Muñoz","given":"Javier"},{"family":"Farooq","given":"Umar"},{"family":"Meerten","given":"Tom","dropping-particle":"van"},{"family":"Reagan","given":"Patrick M."},{"family":"Sureda","given":"Anna"},{"family":"Flinn","given":"Ian W."},{"family":"Vandenberghe","given":"Peter"},{"family":"Song","given":"Kevin W."},{"family":"Dickinson","given":"Michael"},{"family":"Minnema","given":"Monique C."},{"family":"Riedell","given":"Peter A."},{"family":"Leslie","given":"Lori A."},{"family":"Chaganti","given":"Sridhar"},{"family":"Yang","given":"Yin"},{"family":"Filosto","given":"Simone"},{"family":"Shah","given":"Jina"},{"family":"Schupp","given":"Marco"},{"family":"To","given":"Christina"},{"family":"Cheng","given":"Paul"},{"family":"Gordon","given":"Leo I."},{"family":"Westin","given":"Jason R."}],"issued":{"date-parts":[["2022",2,16]]}}},{"id":701,"uris":["http://zotero.org/users/17472926/items/KUIEF8IS"],"itemData":{"id":701,"type":"article-journal","abstract":"In 101 patients with refractory large B-cell lymphoma, anti-CD19 chimeric antigen receptor (CAR) T-cell therapy (axicabtagene ciloleucel) resulted in an overall response rate of 82%, with a 52% survival at 18 months, despite serious toxic effects.","container-title":"New England Journal of Medicine","DOI":"10.1056/NEJMoa1707447","ISSN":"0028-4793","issue":"26","note":"_eprint: https://www.nejm.org/doi/pdf/10.1056/NEJMoa1707447","page":"2531-2544","publisher":"Massachusetts Medical Society","source":"Taylor and Francis+NEJM","title":"Axicabtagene Ciloleucel CAR T-Cell Therapy in Refractory Large B-Cell Lymphoma","volume":"377","author":[{"family":"Neelapu","given":"Sattva S."},{"family":"Locke","given":"Frederick L."},{"family":"Bartlett","given":"Nancy L."},{"family":"Lekakis","given":"Lazaros J."},{"family":"Miklos","given":"David B."},{"family":"Jacobson","given":"Caron A."},{"family":"Braunschweig","given":"Ira"},{"family":"Oluwole","given":"Olalekan O."},{"family":"Siddiqi","given":"Tanya"},{"family":"Lin","given":"Yi"},{"family":"Timmerman","given":"John M."},{"family":"Stiff","given":"Patrick J."},{"family":"Friedberg","given":"Jonathan W."},{"family":"Flinn","given":"Ian W."},{"family":"Goy","given":"Andre"},{"family":"Hill","given":"Brian T."},{"family":"Smith","given":"Mitchell R."},{"family":"Deol","given":"Abhinav"},{"family":"Farooq","given":"Umar"},{"family":"McSweeney","given":"Peter"},{"family":"Munoz","given":"Javier"},{"family":"Avivi","given":"Irit"},{"family":"Castro","given":"Januario E."},{"family":"Westin","given":"Jason R."},{"family":"Chavez","given":"Julio C."},{"family":"Ghobadi","given":"Armin"},{"family":"Komanduri","given":"Krishna V."},{"family":"Levy","given":"Ronald"},{"family":"Jacobsen","given":"Eric D."},{"family":"Witzig","given":"Thomas E."},{"family":"Reagan","given":"Patrick"},{"family":"Bot","given":"Adrian"},{"family":"Rossi","given":"John"},{"family":"Navale","given":"Lynn"},{"family":"Jiang","given":"Yizhou"},{"family":"Aycock","given":"Jeff"},{"family":"Elias","given":"Meg"},{"family":"Chang","given":"David"},{"family":"Wiezorek","given":"Jeff"},{"family":"Go","given":"William Y."}],"issued":{"date-parts":[["2017",12,28]]}}}],"schema":"https://github.com/citation-style-language/schema/raw/master/csl-citation.json"} </w:instrText>
      </w:r>
      <w:r w:rsidR="00970699">
        <w:fldChar w:fldCharType="separate"/>
      </w:r>
      <w:r w:rsidR="00970699" w:rsidRPr="00970699">
        <w:t>[3,4]</w:t>
      </w:r>
      <w:r w:rsidR="00970699">
        <w:fldChar w:fldCharType="end"/>
      </w:r>
      <w:r w:rsidR="00970699">
        <w:t>.</w:t>
      </w:r>
    </w:p>
    <w:p w14:paraId="5AA5CD07" w14:textId="77777777" w:rsidR="00970699" w:rsidRDefault="00970699" w:rsidP="000852E9">
      <w:pPr>
        <w:pStyle w:val="MDPI31text"/>
      </w:pPr>
      <w:r w:rsidRPr="00970699">
        <w:t xml:space="preserve">However, a substantial proportion of patients treated with </w:t>
      </w:r>
      <w:proofErr w:type="spellStart"/>
      <w:r w:rsidRPr="00970699">
        <w:t>axi</w:t>
      </w:r>
      <w:proofErr w:type="spellEnd"/>
      <w:r w:rsidRPr="00970699">
        <w:t xml:space="preserve">-cel either fail to achieve a sustained complete response or experience early </w:t>
      </w:r>
      <w:proofErr w:type="gramStart"/>
      <w:r w:rsidRPr="00970699">
        <w:t>relapse</w:t>
      </w:r>
      <w:proofErr w:type="gramEnd"/>
      <w:r w:rsidRPr="00970699">
        <w:t>. Although antigen escape through loss or reduced expression of CD19 has been described, disease progression frequently occurs despite preserved target expression, indicating that resistance is often mediated by mechanisms beyond antigen loss</w:t>
      </w:r>
      <w:r>
        <w:t xml:space="preserve"> </w:t>
      </w:r>
      <w:r>
        <w:fldChar w:fldCharType="begin"/>
      </w:r>
      <w:r>
        <w:instrText xml:space="preserve"> ADDIN ZOTERO_ITEM CSL_CITATION {"citationID":"pdqbf70U","properties":{"unsorted":false,"formattedCitation":"[5,6]","plainCitation":"[5,6]","noteIndex":0},"citationItems":[{"id":636,"uris":["http://zotero.org/users/17472926/items/NYUMZ7XB"],"itemData":{"id":636,"type":"article-journal","abstract":"Background CD19-directed chimeric antigen receptor-reprogrammed autologous T cells are breakthrough immunotherapies for heavily pretreated patients with diffuse large B-cell lymphoma (DLBCL), but across CAR-19 products, ~60% of patients fail to respond or relapse. Inflammatory markers and clinical factors associate with impaired responses, but tumor-intrinsic resistance drivers are largely undefined.Methods To characterize the genomic mechanisms involved resistance to CAR-19, we interrogated whole genome sequencing (WGS) from 28 relapsed/refractory (r/r) aggressive lymphoma patients uniformly treated with axicabtagene ciloleucel (axi-cel).Results Because prognostic factors defined in the frontline treatment setting are largely inapplicable to CAR-19, we leveraged the WGS data, including comparative analyses with untreated DLBCL cases in the Pan-Cancer Analysis of Whole Genomes (PCAWG) (figure 1). In analyses of individual mutated genes, TP53 was significantly enriched (p=0.002) in CAR-19 patients, but did not predict outcome. However, mutations in either NFKBIA or MYC associated with worse PFS after CAR-19 (p=0.04, p=0.025 respectively). We next identified 12 single base substitution (SBS) mutational signatures in our cohort and found presence of APOBEC (SBS2 and SBS13) signatures associated with worse PFS, with 4/5 patients progressing (p=0.03). Copy number analysis by GISTIC2.0 revealed focal deletions of RHOA and RB1 to be significantly enriched in our cohort and independently predicted poor outcome (p=0.0007, p=0.05 respectively). WGS identifies structural variants and complex events. We found chromothripsis, a catastrophic shattering and reassembly of chromosomes, in 39.3% of r/r DLBCL, which was strongly associated with poor CAR-19 outcome, with 9/11 affected cases progressing (p=0.041). Finally, reduced expression (n=3) or genomic alteration (n=3) of CD19 did not associate with poor outcome. One case with durable response contained a sub-clonal CD19 mutation (L174V) previously reported as associated with CAR-19 resistance. These findings demonstrate predominance of CD19-independent resistance and indicate antigen-mediated tumor killing is not the only mechanism of tumor eradication. Genomic complexity appears to promote an immunosuppressive tumor microenvironment (TME), limiting CAR-19 efficacy.Conclusions Leveraging the resolution of WGS, we observed that markers of genomic complexity (chromothripsis and APOBEC) and specific genomic alterations (RHOA and RB1 deletions) associate with resistance to CAR-19 immunotherapy for aggressive B-cell lymphomas (figure 1). 93.8% of CAR-19 relapsed patients contained at least one or these genomic alterations. Recent patient data demonstrate that an immunosuppressed TME leads to CAR-19 failure. Combining these findings with our genomics findings, successful CAR-19 therapy must overcome the immune-exhausted TME to mobilize the host immune system and eliminate the tumor.Abstract 675 Figure 1Genomic alterations associated with disease progression. (a) The heatmap shows the significant genomic alteration present in at least 4 patients associated with progression after CD19 CAR-T cell therapy. (b) Kaplan-Meier curve of progression free survival with the combination of statistically significant genomic anomalies","container-title":"Journal for ImmunoTherapy of Cancer","DOI":"10.1136/jitc-2021-SITC2021.675","ISSN":"2051-1426","issue":"Suppl 2","journalAbbreviation":"J Immunother Cancer","language":"en","license":"No commercial re-use. If you wish to reuse any or all of this article please contact BMJ Publishing Group Ltd.","PMID":"10.1136/jitc-2021-SITC2021.675","publisher":"BMJ Publishing Group Ltd","source":"jitc.bmj.com","title":"675 Genomic drivers of large B-cell lymphoma resistance to CD19 CAR-T therapy","URL":"https://jitc.bmj.com/content/9/Suppl_2/A703","volume":"9","author":[{"family":"Jain","given":"Michael"},{"family":"Ziccheddu","given":"Bachisio"},{"family":"Coughlin","given":"Caroline"},{"family":"Faramand","given":"Rawan"},{"family":"Griswold","given":"Anthony"},{"family":"Reid","given":"Kayla"},{"family":"Landgren","given":"Ola"},{"family":"Locke","given":"Frederick"},{"family":"Maura","given":"Francesco"},{"family":"Davila","given":"Marco"},{"family":"Schatz","given":"Jonathan"}],"accessed":{"date-parts":[["2026",3,30]]},"issued":{"date-parts":[["2021",11,10]]}}},{"id":647,"uris":["http://zotero.org/users/17472926/items/QYWEMTJQ"],"itemData":{"id":647,"type":"article-journal","abstract":"Target antigen density has emerged as a major factor influencing the potency of CAR T cells. Our laboratory has demonstrated that the activity of numerous CARs is highly dependent on target antigen density (Walker et al., Mol Ther, 2017), and high complete response rates in a recent trial of CD22 CAR T cells for B-ALL were tempered by frequent relapses due to decreased CD22 antigen density on lymphoblasts (Fry et al., Nat Med, 2018). To assess if antigen density is also a determinant of CD19 CAR T cell therapeutic success, we analyzed CD19 antigen density from fifty pediatric B-ALL patients treated on a clinical trial of CD19-CD28ζ CAR T cells. We found that patients whose CD19 expression was below a threshold density (2000 molecules/lymphoblast) were significantly less likely to achieve a clinical response than those whose leukemia expressed higher levels of CD19.In order to further understand this limitation and how it may be overcome, we developed a model of variable CD19 antigen density B-ALL. After establishing a CD19 knockout of the B-ALL cell line NALM6, we used a lentivirus to reintroduce CD19 and then FACS sorted and single cell cloned to achieve a library of NALM6 clones with varying CD19 surface densities. CD19-CD28ζ CAR T cell activity was highly dependent on CD19 antigen density. We observed decreases in cytotoxicity, proliferation, and cytokine production by CD19 CAR T cells when encountering CD19-low cells, with an approximate threshold of 2,000 molecules of CD19 per lymphoblast, below which, cytokine production in response to tumor cells was nearly ablated.Given that a CD19-4-1BBζ CAR is FDA approved for children with B-ALL and adults with DLBCL, we wondered whether CARs incorporating this alternative costimulatory domain would have similar antigen density thresholds for activation. Surprisingly, CD19-4-1BBζ CAR T cells made even less cytokine, proliferated less, and had further diminished cytolytic capacity against CD19-low cells compared to CD19-CD28ζ CAR T cells. Analysis by western blot of protein lysates from CAR T cells stimulated with varying amounts of antigen demonstrated that CD19-CD28ζ CAR T cells had higher levels of downstream signals such as pERK than CD19-4-1BBζ CAR T cells at lower antigen densities. Accordingly, calcium flux after stimulation was also significantly higher in CD19-CD28ζ than CD19-4-1BBζ CAR T cells.In a xenograft model of CD19-low B-ALL, CD19-4-1BBζ CAR T cells demonstrated no anti-tumor activity, while CD19-CD28ζ CAR T cells eradicated CD19-low leukemia cells. Therefore, the choice of costimulatory domain in CAR T cells plays a major role in modulating activity against low antigen density tumors. CD28 costimulation endows high reactivity towards low antigen density tumors. We confirmed the generalizability of this finding using Her2 CAR T cells; Her2-CD28ζ CAR T cells cleared tumors in an orthotopic xenograft model of Her2-low osteosarcoma, while Her2-4-1BBζ CAR T cells had no effect. This finding has implications for CAR design for lymphoma and solid tumors, where antigen expression is more heterogeneous than B-ALL.To enhance the activity of CD19-4-1BBζ CAR T cells against CD19-low leukemia, we designed a CAR with two copies of intracellular zeta in the signaling domain (CD19-4-1BBζζ). T cells expressing this double-zeta CAR demonstrated enhanced cytotoxicity, proliferation, cytokine production, and pERK signaling in response to CD19-low cells compared to single-zeta CARs. Additionally, in a xenograft model, CD19-4-1BBζζ CAR T cells demonstrated enhanced activity against CD19-low leukemia compared to CD19-4-1BBζ CAR T cells, significantly extending survival. The addition of a third zeta domain (CD19-4-1BBζζζ) further enhanced the activity of CAR T cells. However, inclusion of multiple copies of the costimulatory domains did not improve function.In conclusion, CD19 antigen density is an important determinant of CAR T cell function and therapeutic response. CD19-CD28ζ CARs are more efficient at targeting CD19-low tumor cells than CD19-4-1BBζ CARs. The addition of multiple zeta domains to the CAR enhances its ability to target low antigen density tumors. This serves as proof of concept that rational redesign of CAR signaling endodomains can result in enhanced function against low antigen density tumors, an important step for extending the reach of these powerful therapeutics and overcoming a significant mechanism of tumor escape.Lee:Juno: Consultancy.","container-title":"Blood","DOI":"10.1182/blood-2018-99-115558","ISSN":"0006-4971","issue":"Supplement 1","journalAbbreviation":"Blood","page":"963","source":"Silverchair","title":"Low CD19 Antigen Density Diminishes Efficacy of CD19 CAR T Cells and Can be Overcome By Rational Redesign of CAR Signaling Domains","volume":"132","author":[{"family":"Majzner","given":"Robbie G."},{"family":"Rietberg","given":"Skyler P."},{"family":"Labanieh","given":"Louai"},{"family":"Sotillo","given":"Elena"},{"family":"Weber","given":"Evan W."},{"family":"Lynn","given":"Rachel C."},{"family":"Theruvath","given":"Johanna L."},{"family":"Yuan","given":"Constance M."},{"family":"Xu","given":"Peng"},{"family":"Nguyen","given":"Sang M."},{"family":"Shah","given":"Nirali N."},{"family":"Stetler-Stevenson","given":"Maryalice"},{"family":"Fry","given":"Terry J."},{"family":"Lee","given":"Daniel W."},{"family":"Mackall","given":"Crystal L."}],"issued":{"date-parts":[["2018",11,29]]}}}],"schema":"https://github.com/citation-style-language/schema/raw/master/csl-citation.json"} </w:instrText>
      </w:r>
      <w:r>
        <w:fldChar w:fldCharType="separate"/>
      </w:r>
      <w:r w:rsidRPr="00970699">
        <w:t>[5,6]</w:t>
      </w:r>
      <w:r>
        <w:fldChar w:fldCharType="end"/>
      </w:r>
      <w:r>
        <w:t xml:space="preserve">. </w:t>
      </w:r>
      <w:r w:rsidRPr="00970699">
        <w:t xml:space="preserve">These observations support a model in which </w:t>
      </w:r>
      <w:proofErr w:type="spellStart"/>
      <w:r w:rsidRPr="00970699">
        <w:t>axi</w:t>
      </w:r>
      <w:proofErr w:type="spellEnd"/>
      <w:r w:rsidRPr="00970699">
        <w:t>-cel resistance arises from a complex interplay between tumor-intrinsic biological programs and the surrounding tumor microenvironment (TME).</w:t>
      </w:r>
    </w:p>
    <w:p w14:paraId="4D9FCA7E" w14:textId="77777777" w:rsidR="00970699" w:rsidRDefault="00970699" w:rsidP="000852E9">
      <w:pPr>
        <w:pStyle w:val="MDPI31text"/>
      </w:pPr>
      <w:r w:rsidRPr="00970699">
        <w:t>In conventional tumor immunology, immune evasion is frequently attributed to pre-existing T-cell exhaustion and impaired antigen-presentation machinery, including downregulation of human leukocyte antigen (HLA) molecules. Although pathways such as PD-1/PD-L1 signaling may contribute to adaptive resistance after CAR T-cell infusion, baseline global exhaustion signatures have not consistently stratified treatment responses independently</w:t>
      </w:r>
      <w:r>
        <w:t xml:space="preserve"> </w:t>
      </w:r>
      <w:r>
        <w:fldChar w:fldCharType="begin"/>
      </w:r>
      <w:r>
        <w:instrText xml:space="preserve"> ADDIN ZOTERO_ITEM CSL_CITATION {"citationID":"hfUZ7qmp","properties":{"unsorted":false,"formattedCitation":"[7\\uc0\\u8211{}9]","plainCitation":"[7–9]","noteIndex":0},"citationItems":[{"id":726,"uris":["http://zotero.org/users/17472926/items/VY9L9X3G"],"itemData":{"id":726,"type":"article-journal","container-title":"Blood","DOI":"10.1182/blood-2016-09-738245","ISSN":"0006-4971, 1528-0020","issue":"8","language":"en","page":"1039-1041","source":"DOI.org (Crossref)","title":"PD-1 blockade modulates chimeric antigen receptor (CAR)–modified T cells: refueling the CAR","title-short":"PD-1 blockade modulates chimeric antigen receptor (CAR)–modified T cells","volume":"129","author":[{"family":"Chong","given":"Elise A."},{"family":"Melenhorst","given":"J. Joseph"},{"family":"Lacey","given":"Simon F."},{"family":"Ambrose","given":"David E."},{"family":"Gonzalez","given":"Vanessa"},{"family":"Levine","given":"Bruce L."},{"family":"June","given":"Carl H."},{"family":"Schuster","given":"Stephen J."}],"issued":{"date-parts":[["2017",2,23]]}}},{"id":728,"uris":["http://zotero.org/users/17472926/items/PKH2395Y"],"itemData":{"id":728,"type":"article-journal","abstract":"Publisher's Note: There is a Blood Commentary on this article in this issue.","container-title":"Blood","DOI":"10.1182/blood-2017-07-793760","ISSN":"0006-4971, 1528-0020","issue":"1","language":"en","page":"121-130","source":"DOI.org (Crossref)","title":"Infectious complications of CD19-targeted chimeric antigen receptor–modified T-cell immunotherapy","volume":"131","author":[{"family":"Hill","given":"Joshua A."},{"family":"Li","given":"Daniel"},{"family":"Hay","given":"Kevin A."},{"family":"Green","given":"Margaret L."},{"family":"Cherian","given":"Sindhu"},{"family":"Chen","given":"Xueyan"},{"family":"Riddell","given":"Stanley R."},{"family":"Maloney","given":"David G."},{"family":"Boeckh","given":"Michael"},{"family":"Turtle","given":"Cameron J."}],"issued":{"date-parts":[["2018",1,4]]}}},{"id":730,"uris":["http://zotero.org/users/17472926/items/92IIU97D"],"itemData":{"id":730,"type":"article-journal","abstract":"Abstract\n            CD19-directed chimeric antigen receptor–modified (CAR T) T cells achieve durable remissions in about 30% to 40% of relapsed/refractory large B-cell lymphomas. T-cell exhaustion and/or an immunosuppressive tumor microenvironment may contribute to CAR T-cell failure. Pembrolizumab, an anti-PD1 immune checkpoint inhibitor, may reverse T-cell exhaustion after CAR T-cell therapy. We treated 12 patients with B-cell lymphomas who were either refractory to (n = 9) or relapsed after (n = 3) CD19-directed CAR T-cell (4-1BB–costimulated) therapy with pembrolizumab 200 mg IV every 3 weeks. Median time from CAR T-cell infusion to first pembrolizumab dose was 3.3 months (range, 0.4-42.8 months). Pembrolizumab was well tolerated, and the only grade ≥3 adverse events related to pembrolizumab were neutropenia (n = 3; 25%). Best overall response rate after pembrolizumab was 25% (3 of 12 patients; 1 complete response; 2 partial responses). One (8%) patient had stable disease; thus, 4 of 12 (33%) patients had clinical benefit. After pembrolizumab, 4 patients with clinical benefit had an increase in percentage of CAR T cells by mass cytometry by time of flight (CyTOF); 3 of 4 of these patients also had increases in CAR19 transgene levels by quantitative polymerase chain reaction. Deep immune profiling using CyTOF revealed increased CAR T-cell activation and proliferation and less T-cell exhaustion in clinical responders. Together, PD1 blockade with pembrolizumab after CD19-directed CAR T-cell therapy appears safe and may achieve clinical responses in some patients with B-cell lymphomas refractory to or relapsed after CAR T-cell therapy. This trial was registered at www.clinicaltrials.gove as #NCT02650999.","container-title":"Blood","DOI":"10.1182/blood.2021012634","ISSN":"0006-4971, 1528-0020","issue":"7","language":"en","page":"1026-1038","source":"DOI.org (Crossref)","title":"Pembrolizumab for B-cell lymphomas relapsing after or refractory to CD19-directed CAR T-cell therapy","volume":"139","author":[{"family":"Chong","given":"Elise A."},{"family":"Alanio","given":"Cécile"},{"family":"Svoboda","given":"Jakub"},{"family":"Nasta","given":"Sunita D."},{"family":"Landsburg","given":"Daniel J."},{"family":"Lacey","given":"Simon F."},{"family":"Ruella","given":"Marco"},{"family":"Bhattacharyya","given":"Siddharth"},{"family":"Wherry","given":"E. John"},{"family":"Schuster","given":"Stephen J."}],"issued":{"date-parts":[["2022",2,17]]}}}],"schema":"https://github.com/citation-style-language/schema/raw/master/csl-citation.json"} </w:instrText>
      </w:r>
      <w:r>
        <w:fldChar w:fldCharType="separate"/>
      </w:r>
      <w:r w:rsidRPr="00970699">
        <w:t>[7–9]</w:t>
      </w:r>
      <w:r>
        <w:fldChar w:fldCharType="end"/>
      </w:r>
      <w:r>
        <w:t xml:space="preserve">. </w:t>
      </w:r>
      <w:r w:rsidRPr="00970699">
        <w:t>Similarly, while immunosuppressive cellular populations have been associated with impaired CAR T-cell expansion and activity, quantitative estimates of immune and stromal infiltration alone do not fully account for the marked variability in clinical outcomes</w:t>
      </w:r>
      <w:r>
        <w:t xml:space="preserve"> </w:t>
      </w:r>
      <w:r>
        <w:fldChar w:fldCharType="begin"/>
      </w:r>
      <w:r>
        <w:instrText xml:space="preserve"> ADDIN ZOTERO_ITEM CSL_CITATION {"citationID":"jAtaCdhR","properties":{"unsorted":false,"formattedCitation":"[10,11]","plainCitation":"[10,11]","noteIndex":0},"citationItems":[{"id":768,"uris":["http://zotero.org/users/17472926/items/AHNAHNJQ"],"itemData":{"id":768,"type":"article-journal","abstract":"Abstract\n            \n              \n              Diffuse large B-cell lymphoma (DLBCL) is a biologically and clinically heterogeneous disease. Transcriptomic and genetic characterization of DLBCL has increased the understanding of its intrinsic pathogenesis and provided potential therapeutic targets. However, the role of the microenvironment in DLBCL biology remains less understood. Here, we performed a transcriptomic analysis of the microenvironment of 4,655 DLBCLs from multiple independent cohorts and described four major lymphoma microenvironment categories that associate with distinct biological aberrations and clinical behavior. We also found evidence of genetic and epigenetic mechanisms deployed by cancer cells to evade microenvironmental constraints of lymphoma growth, supporting the rationale for implementing DNA hypomethylating agents in selected patients with DLBCL. In addition, our work uncovered new therapeutic vulnerabilities in the biochemical composition of the extracellular matrix that were exploited to decrease DLBCL proliferation in preclinical models. This novel classification provides a road map for the biological characterization and therapeutic exploitation of the DLBCL microenvironment.\n            \n            \n              Significance:\n              In a translational relevant transcriptomic-based classification, we characterized the microenvironment as a critical component of the B-cell lymphoma biology and associated it with the DLBCL clinical behavior establishing a novel opportunity for targeting therapies.\n              This article is highlighted in the In This Issue feature, p. 1307","container-title":"Cancer Discovery","DOI":"10.1158/2159-8290.CD-20-0839","ISSN":"2159-8274, 2159-8290","issue":"6","language":"en","page":"1468-1489","source":"DOI.org (Crossref)","title":"Clinical and Biological Subtypes of B-cell Lymphoma Revealed by Microenvironmental Signatures","volume":"11","author":[{"family":"Kotlov","given":"Nikita"},{"family":"Bagaev","given":"Alexander"},{"family":"Revuelta","given":"Maria V."},{"family":"Phillip","given":"Jude M."},{"family":"Cacciapuoti","given":"Maria Teresa"},{"family":"Antysheva","given":"Zoya"},{"family":"Svekolkin","given":"Viktor"},{"family":"Tikhonova","given":"Ekaterina"},{"family":"Miheecheva","given":"Natalia"},{"family":"Kuzkina","given":"Natalia"},{"family":"Nos","given":"Grigorii"},{"family":"Tabbo","given":"Fabrizio"},{"family":"Frenkel","given":"Felix"},{"family":"Ghione","given":"Paola"},{"family":"Tsiper","given":"Maria"},{"family":"Almog","given":"Nava"},{"family":"Fowler","given":"Nathan"},{"family":"Melnick","given":"Ari M."},{"family":"Leonard","given":"John P."},{"family":"Inghirami","given":"Giorgio"},{"family":"Cerchietti","given":"Leandro"}],"issued":{"date-parts":[["2021",6,1]]}}},{"id":767,"uris":["http://zotero.org/users/17472926/items/TLMXS8MW"],"itemData":{"id":767,"type":"article-journal","abstract":"Abstract\n            Axicabtagene ciloleucel (axi-cel) is a chimeric antigen receptor (CAR) T-cell therapy for relapsed or refractory large B-cell lymphoma (LBCL). This study evaluated whether immune dysregulation, present before CAR T-cell therapy, was associated with treatment failure. Tumor expression of interferon (IFN) signaling, high blood levels of monocytic myeloid-derived suppressor cells (M-MDSCs), and high blood interleukin-6 and ferritin levels were each associated with a lack of durable response. Similar to other cancers, we found that in LBCL tumors, IFN signaling is associated with the expression of multiple checkpoint ligands, including programmed cell death–ligand 1, and these were higher in patients who lacked durable responses to CAR-T therapy. Moreover, tumor IFN signaling and blood M-MDSCs associated with decreased axi-cel expansion. Finally, patients with high tumor burden had higher immune dysregulation with increased serum inflammatory markers and tumor IFN signaling. These data support that immune dysregulation in LBCL promotes axi-cel resistance via multiple mechanistic programs: insufficient axi-cel expansion associated with both circulating M-MDSC and tumor IFN signaling, which also gives rise to expression of immune checkpoint ligands.","container-title":"Blood","DOI":"10.1182/blood.2020007445","ISSN":"0006-4971, 1528-0020","issue":"19","language":"en","page":"2621-2633","source":"DOI.org (Crossref)","title":"Tumor interferon signaling and suppressive myeloid cells are associated with CAR T-cell failure in large B-cell lymphoma","volume":"137","author":[{"family":"Jain","given":"Michael D."},{"family":"Zhao","given":"Hua"},{"family":"Wang","given":"Xuefeng"},{"family":"Atkins","given":"Reginald"},{"family":"Menges","given":"Meghan"},{"family":"Reid","given":"Kayla"},{"family":"Spitler","given":"Kristen"},{"family":"Faramand","given":"Rawan"},{"family":"Bachmeier","given":"Christina"},{"family":"Dean","given":"Erin A."},{"family":"Cao","given":"Biwei"},{"family":"Chavez","given":"Julio C."},{"family":"Shah","given":"Bijal"},{"family":"Lazaryan","given":"Aleksandr"},{"family":"Nishihori","given":"Taiga"},{"family":"Hussaini","given":"Mohammed"},{"family":"Gonzalez","given":"Ricardo J."},{"family":"Mullinax","given":"John E."},{"family":"Rodriguez","given":"Paulo C."},{"family":"Conejo-Garcia","given":"Jose R."},{"family":"Anasetti","given":"Claudio"},{"family":"Davila","given":"Marco L."},{"family":"Locke","given":"Frederick L."}],"issued":{"date-parts":[["2021",5,13]]}}}],"schema":"https://github.com/citation-style-language/schema/raw/master/csl-citation.json"} </w:instrText>
      </w:r>
      <w:r>
        <w:fldChar w:fldCharType="separate"/>
      </w:r>
      <w:r w:rsidRPr="00970699">
        <w:t>[10,11]</w:t>
      </w:r>
      <w:r>
        <w:fldChar w:fldCharType="end"/>
      </w:r>
      <w:r>
        <w:t xml:space="preserve">. </w:t>
      </w:r>
      <w:r w:rsidRPr="00970699">
        <w:t>This discrepancy suggests that the functional state and phenotypic plasticity of malignant B cells may constitute more consequential barriers to CAR T-cell activity than the abundance of inhibitory cell populations alone.</w:t>
      </w:r>
    </w:p>
    <w:p w14:paraId="491BDB57" w14:textId="77777777" w:rsidR="00EB4C94" w:rsidRDefault="00970699" w:rsidP="000852E9">
      <w:pPr>
        <w:pStyle w:val="MDPI31text"/>
      </w:pPr>
      <w:r w:rsidRPr="00970699">
        <w:t>Effective antitumor immunity also depends on the coordinated activation of inflammatory pathways. Acute activation of interferon (IFN) enhances target vulnerability, whereas an inability to mount an effective baseline inflammatory program, or its chronic dysregulation, can limit CAR T-cell engagement</w:t>
      </w:r>
      <w:r>
        <w:t xml:space="preserve"> </w:t>
      </w:r>
      <w:r>
        <w:fldChar w:fldCharType="begin"/>
      </w:r>
      <w:r>
        <w:instrText xml:space="preserve"> ADDIN ZOTERO_ITEM CSL_CITATION {"citationID":"QKLNDp9F","properties":{"unsorted":false,"formattedCitation":"[12,13]","plainCitation":"[12,13]","noteIndex":0},"citationItems":[{"id":717,"uris":["http://zotero.org/users/17472926/items/MMXB7ENY"],"itemData":{"id":717,"type":"article-journal","container-title":"Cell","DOI":"10.1016/j.cell.2016.11.022","ISSN":"00928674","issue":"6","journalAbbreviation":"Cell","language":"en","page":"1540-1554.e12","source":"DOI.org (Crossref)","title":"Tumor Interferon Signaling Regulates a Multigenic Resistance Program to Immune Checkpoint Blockade","volume":"167","author":[{"family":"Benci","given":"Joseph L."},{"family":"Xu","given":"Bihui"},{"family":"Qiu","given":"Yu"},{"family":"Wu","given":"Tony J."},{"family":"Dada","given":"Hannah"},{"family":"Twyman-Saint Victor","given":"Christina"},{"family":"Cucolo","given":"Lisa"},{"family":"Lee","given":"David S.M."},{"family":"Pauken","given":"Kristen E."},{"family":"Huang","given":"Alexander C."},{"family":"Gangadhar","given":"Tara C."},{"family":"Amaravadi","given":"Ravi K."},{"family":"Schuchter","given":"Lynn M."},{"family":"Feldman","given":"Michael D."},{"family":"Ishwaran","given":"Hemant"},{"family":"Vonderheide","given":"Robert H."},{"family":"Maity","given":"Amit"},{"family":"Wherry","given":"E. John"},{"family":"Minn","given":"Andy J."}],"issued":{"date-parts":[["2016",12]]}}},{"id":718,"uris":["http://zotero.org/users/17472926/items/DHVJQRXU"],"itemData":{"id":718,"type":"article-journal","container-title":"Cell","DOI":"10.1016/j.cell.2023.03.006","ISSN":"00928674","issue":"8","journalAbbreviation":"Cell","language":"en","page":"1652-1669","source":"DOI.org (Crossref)","title":"Immune checkpoint therapy—current perspectives and future directions","volume":"186","author":[{"family":"Sharma","given":"Padmanee"},{"family":"Goswami","given":"Sangeeta"},{"family":"Raychaudhuri","given":"Deblina"},{"family":"Siddiqui","given":"Bilal A."},{"family":"Singh","given":"Pratishtha"},{"family":"Nagarajan","given":"Ashwat"},{"family":"Liu","given":"Jielin"},{"family":"Subudhi","given":"Sumit K."},{"family":"Poon","given":"Candice"},{"family":"Gant","given":"Kristal L."},{"family":"Herbrich","given":"Shelley M."},{"family":"Anandhan","given":"Swetha"},{"family":"Islam","given":"Shajedul"},{"family":"Amit","given":"Moran"},{"family":"Anandappa","given":"Gayathri"},{"family":"Allison","given":"James P."}],"issued":{"date-parts":[["2023",4]]}}}],"schema":"https://github.com/citation-style-language/schema/raw/master/csl-citation.json"} </w:instrText>
      </w:r>
      <w:r>
        <w:fldChar w:fldCharType="separate"/>
      </w:r>
      <w:r w:rsidRPr="00970699">
        <w:t>[12,13]</w:t>
      </w:r>
      <w:r>
        <w:fldChar w:fldCharType="end"/>
      </w:r>
      <w:r>
        <w:t xml:space="preserve">. </w:t>
      </w:r>
      <w:r w:rsidRPr="00970699">
        <w:t>In parallel, specific chemokine networks, including the CCL20-CCR6 axis, have been implicated in immune exclusion and the establishment of an immunologically anergic microenvironment</w:t>
      </w:r>
      <w:r>
        <w:t xml:space="preserve"> </w:t>
      </w:r>
      <w:r>
        <w:fldChar w:fldCharType="begin"/>
      </w:r>
      <w:r w:rsidR="00EB4C94">
        <w:instrText xml:space="preserve"> ADDIN ZOTERO_ITEM CSL_CITATION {"citationID":"ezIk2ZtH","properties":{"unsorted":false,"formattedCitation":"[14]","plainCitation":"[14]","noteIndex":0},"citationItems":[{"id":719,"uris":["http://zotero.org/users/17472926/items/GFBLBY8X"],"itemData":{"id":719,"type":"article-journal","container-title":"Nature","DOI":"10.1038/nature17039","ISSN":"0028-0836, 1476-4687","issue":"7586","journalAbbreviation":"Nature","language":"en","page":"307-315","source":"DOI.org (Crossref)","title":"Reparative inflammation takes charge of tissue regeneration","volume":"529","author":[{"family":"Karin","given":"Michael"},{"family":"Clevers","given":"Hans"}],"issued":{"date-parts":[["2016",1]]}}}],"schema":"https://github.com/citation-style-language/schema/raw/master/csl-citation.json"} </w:instrText>
      </w:r>
      <w:r>
        <w:fldChar w:fldCharType="separate"/>
      </w:r>
      <w:r w:rsidR="00EB4C94" w:rsidRPr="00EB4C94">
        <w:t>[14]</w:t>
      </w:r>
      <w:r>
        <w:fldChar w:fldCharType="end"/>
      </w:r>
      <w:r w:rsidR="00EB4C94">
        <w:t xml:space="preserve">. </w:t>
      </w:r>
      <w:r w:rsidR="00EB4C94" w:rsidRPr="00EB4C94">
        <w:t>Beyond classical immune signaling, emerging paradigms highlight the role of tumor dedifferentiation and aggressive tissue remodeling. Programs analogous to epithelial-mesenchymal transition-like (EMT-like) and alterations in cellular adhesion confer physical and biological protection against effector immune cell infiltration and cytotoxicity, representing a largely unexplored frontier in cellular immunotherapy resistance</w:t>
      </w:r>
      <w:r w:rsidR="00EB4C94">
        <w:t xml:space="preserve"> </w:t>
      </w:r>
      <w:r w:rsidR="00EB4C94">
        <w:fldChar w:fldCharType="begin"/>
      </w:r>
      <w:r w:rsidR="00EB4C94">
        <w:instrText xml:space="preserve"> ADDIN ZOTERO_ITEM CSL_CITATION {"citationID":"f2PNFxcq","properties":{"unsorted":false,"formattedCitation":"[15\\uc0\\u8211{}17]","plainCitation":"[15–17]","noteIndex":0},"citationItems":[{"id":734,"uris":["http://zotero.org/users/17472926/items/TZMZF3IH"],"itemData":{"id":734,"type":"article-journal","abstract":"Metastasis causes most cancer deaths, yet this process remains one of the most enigmatic aspects of the disease. Building on new mechanistic insights emerging from recent research, we offer our perspective on the metastatic process and reflect on possible paths of future exploration. We suggest that metastasis can be portrayed as a two-phase process: The first phase involves the physical translocation of a cancer cell to a distant organ, whereas the second encompasses the ability of the cancer cell to develop into a metastatic lesion at that distant site. Although much remains to be learned about the second phase, we feel that an understanding of the first phase is now within sight, due in part to a better understanding of how cancer cell behavior can be modified by a cell-biological program called the epithelial-to-mesenchymal transition.","container-title":"Science","DOI":"10.1126/science.1203543","ISSN":"0036-8075, 1095-9203","issue":"6024","journalAbbreviation":"Science","language":"en","page":"1559-1564","source":"DOI.org (Crossref)","title":"A Perspective on Cancer Cell Metastasis","volume":"331","author":[{"family":"Chaffer","given":"Christine L."},{"family":"Weinberg","given":"Robert A."}],"issued":{"date-parts":[["2011",3,25]]}}},{"id":735,"uris":["http://zotero.org/users/17472926/items/ERBHAJIB"],"itemData":{"id":735,"type":"article-journal","abstract":"Novel immunotherapy approaches have provided durable remission in a significant number of cancer patients with cancers previously considered rapidly lethal. Nonetheless, the high degree of nonresponders, and in some cases the emergence of resistance in patients who do initially respond, represents a significant challenge in the field of cancer immunotherapy. These issues prompt much more extensive studies to better understand how cancer cells escape immune surveillance and resist immune attacks. Here, we review the current knowledge of how cellular heterogeneity and plasticity could be involved in shaping the tumor microenvironment (TME) and in controlling antitumor immunity. Indeed, recent findings have led to increased interest in the mechanisms by which cancer cells undergoing epithelial‐mesenchymal transition (\n              EMT\n              ), or oscillating within the\n              EMT\n              spectrum, might contribute to immune escape through multiple routes. This includes shaping of the TME and decreased susceptibility to immune effector cells. Although much remains to be learned on the mechanisms at play, cancer cell clones with mesenchymal features emerging from the TME seem to be primed to face immune attacks by specialized killer cells of the immune system, the natural killer cells, and the cytotoxic T lymphocytes. Recent studies investigating patient tumors have suggested\n              EMT\n              as a candidate predictive marker to be explored for immunotherapy outcome. Promising data also exist on the potential utility of targeting these cancer cell populations to at least partly overcome such resistance. Research is now underway which may lead to considerable progress in optimization of treatments.","container-title":"Molecular Oncology","DOI":"10.1002/1878-0261.12093","ISSN":"1574-7891, 1878-0261","issue":"7","journalAbbreviation":"Molecular Oncology","language":"en","page":"824-846","source":"DOI.org (Crossref)","title":"New insights into the role of &lt;span style=\"font-variant:small-caps;\"&gt;EMT&lt;/span&gt; in tumor immune escape","title-short":"New insights into the role of &lt;span style=\"font-variant","volume":"11","author":[{"family":"Terry","given":"Stéphane"},{"family":"Savagner","given":"Pierre"},{"family":"Ortiz‐Cuaran","given":"Sandra"},{"family":"Mahjoubi","given":"Linda"},{"family":"Saintigny","given":"Pierre"},{"family":"Thiery","given":"Jean‐Paul"},{"family":"Chouaib","given":"Salem"}],"issued":{"date-parts":[["2017",7]]}}},{"id":736,"uris":["http://zotero.org/users/17472926/items/MULX6D6Y"],"itemData":{"id":736,"type":"article-journal","abstract":"Various features of the tumor and immune system influence the success of immunotherapy.\n          , \n            Immunotherapy is revolutionizing the clinical management of multiple tumors. However, only a fraction of patients with cancer responds to immunotherapy, and currently available immunotherapeutic agents are expensive and generally associated with considerable toxicity, calling for the identification of robust predictive biomarkers. The overall genomic configuration of malignant cells, potentially favoring the emergence of immunogenic tumor neoantigens, as well as specific mutations that compromise the ability of the immune system to recognize or eradicate the disease have been associated with differential sensitivity to immunotherapy in preclinical and clinical settings. Along similar lines, the type, density, localization, and functional orientation of the immune infiltrate have a prominent impact on anticancer immunity, as do features of the tumor microenvironment linked to the vasculature and stroma, and systemic factors including the composition of the gut microbiota. On the basis of these considerations, we outline the hallmarks of successful anticancer immunotherapy.","container-title":"Science Translational Medicine","DOI":"10.1126/scitranslmed.aat7807","ISSN":"1946-6234, 1946-6242","issue":"459","journalAbbreviation":"Sci. Transl. Med.","language":"en","page":"eaat7807","source":"DOI.org (Crossref)","title":"The hallmarks of successful anticancer immunotherapy","volume":"10","author":[{"family":"Galluzzi","given":"Lorenzo"},{"family":"Chan","given":"Timothy A."},{"family":"Kroemer","given":"Guido"},{"family":"Wolchok","given":"Jedd D."},{"family":"López-Soto","given":"Alejandro"}],"issued":{"date-parts":[["2018",9,19]]}}}],"schema":"https://github.com/citation-style-language/schema/raw/master/csl-citation.json"} </w:instrText>
      </w:r>
      <w:r w:rsidR="00EB4C94">
        <w:fldChar w:fldCharType="separate"/>
      </w:r>
      <w:r w:rsidR="00EB4C94" w:rsidRPr="00EB4C94">
        <w:t>[15–17]</w:t>
      </w:r>
      <w:r w:rsidR="00EB4C94">
        <w:fldChar w:fldCharType="end"/>
      </w:r>
      <w:r w:rsidR="00EB4C94">
        <w:t>.</w:t>
      </w:r>
    </w:p>
    <w:p w14:paraId="35A1ADB1" w14:textId="77777777" w:rsidR="00EB4C94" w:rsidRDefault="00EB4C94" w:rsidP="000852E9">
      <w:pPr>
        <w:pStyle w:val="MDPI31text"/>
      </w:pPr>
      <w:r w:rsidRPr="00EB4C94">
        <w:t xml:space="preserve">Conversely, preservation of mature B-cell lineage identity may favor therapeutic sensitivity. Sustained expression of canonical B-cell markers, including </w:t>
      </w:r>
      <w:r w:rsidRPr="001A6E76">
        <w:rPr>
          <w:i/>
          <w:iCs/>
        </w:rPr>
        <w:t>CD19</w:t>
      </w:r>
      <w:r w:rsidRPr="00EB4C94">
        <w:t xml:space="preserve"> and </w:t>
      </w:r>
      <w:r w:rsidRPr="001A6E76">
        <w:rPr>
          <w:i/>
          <w:iCs/>
        </w:rPr>
        <w:t>MS4A1</w:t>
      </w:r>
      <w:r w:rsidRPr="00EB4C94">
        <w:t>, together with lineage-defining transcriptional regulators such as IRF8, may maintain a differentiated cellular state that is more permissive to immune recognition and elimination</w:t>
      </w:r>
      <w:r>
        <w:t xml:space="preserve"> </w:t>
      </w:r>
      <w:r>
        <w:fldChar w:fldCharType="begin"/>
      </w:r>
      <w:r>
        <w:instrText xml:space="preserve"> ADDIN ZOTERO_ITEM CSL_CITATION {"citationID":"tUxNfgnH","properties":{"unsorted":false,"formattedCitation":"[18,19]","plainCitation":"[18,19]","noteIndex":0},"citationItems":[{"id":686,"uris":["http://zotero.org/users/17472926/items/WM3J47ZE"],"itemData":{"id":686,"type":"article-journal","abstract":"The ability of the immune system to eliminate and shape the\nimmunogenicity of tumors defines the process of cancer immunoediting. Immunotherapies such as those\nthat target immune checkpoint molecules can be used to augment immune-mediated\nelimination of tumors and have resulted in durable responses in cancer patients\nthat did not respond to previous treatments. However, only a subset of patients\nbenefit from immunotherapy and more knowledge about what is required for\nsuccessful treatment is needed–. While\nthe role of tumor neoantigen-specific CD8+ T cells in tumor rejection\nis well established–, the roles played by other T\ncell subsets have received less attention. Here we show spontaneous and\nimmunotherapy-induced anti-tumor responses require the activity of both tumor\nantigen specific CD8+ and CD4+ T cells, even in tumors\nthat do not express MHC class II. Additionally, tumor cell expression of MHC\nclass II-restricted antigens is required at the site of successful rejection,\nindicating that CD4+ T cell activation must also occur in the tumor\nmicroenvironment. These findings suggest that MHC class II-restricted\nneoantigens have a key function in the anti-tumor response that is\nnonoverlapping with that of MHC class I-restricted neoantigens and therefore\nneed to be considered when identifying patients who will most benefit from\nimmunotherapy.","container-title":"Nature","DOI":"10.1038/s41586-019-1671-8","ISSN":"0028-0836","issue":"7780","journalAbbreviation":"Nature","page":"696-701","PMID":"31645760","PMCID":"PMC6858572","source":"PubMed Central","title":"MHC-II neoantigens shape tumor immunity and response to immunotherapy","volume":"574","author":[{"family":"Alspach","given":"Elise"},{"family":"Lussier","given":"Danielle M."},{"family":"Miceli","given":"Alexander P."},{"family":"Kizhvatov","given":"Ilya"},{"family":"DuPage","given":"Michel"},{"family":"Luoma","given":"Adrienne M."},{"family":"Meng","given":"Wei"},{"family":"Lichti","given":"Cheryl F."},{"family":"Esaulova","given":"Ekaterina"},{"family":"Vomund","given":"Anthony N."},{"family":"Runci","given":"Daniele"},{"family":"Ward","given":"Jeffrey P."},{"family":"Gubin","given":"Matthew M."},{"family":"Medrano","given":"Ruan F.V."},{"family":"Arthur","given":"Cora D."},{"family":"White","given":"J. Michael"},{"family":"Sheehan","given":"Kathleen C.F."},{"family":"Chen","given":"Alex"},{"family":"Wucherpfennig","given":"Kai W."},{"family":"Jacks","given":"Tyler"},{"family":"Unanue","given":"Emil R."},{"family":"Artyomov","given":"Maxim N."},{"family":"Schreiber","given":"Robert D."}],"issued":{"date-parts":[["2019",10]]}}},{"id":721,"uris":["http://zotero.org/users/17472926/items/ILQRLBNM"],"itemData":{"id":721,"type":"article-journal","container-title":"Nature Medicine","DOI":"10.1038/nm0102-68","ISSN":"1078-8956, 1546-170X","issue":"1","journalAbbreviation":"Nat Med","language":"en","license":"http://www.springer.com/tdm","page":"68-74","source":"DOI.org (Crossref)","title":"Diffuse large B-cell lymphoma outcome prediction by gene-expression profiling and supervised machine learning","volume":"8","author":[{"family":"Shipp","given":"Margaret A."},{"family":"Ross","given":"Ken N."},{"family":"Tamayo","given":"Pablo"},{"family":"Weng","given":"Andrew P."},{"family":"Kutok","given":"Jeffery L."},{"family":"Aguiar","given":"Ricardo C.T."},{"family":"Gaasenbeek","given":"Michelle"},{"family":"Angelo","given":"Michael"},{"family":"Reich","given":"Michael"},{"family":"Pinkus","given":"Geraldine S."},{"family":"Ray","given":"Tane S."},{"family":"Koval","given":"Margaret A."},{"family":"Last","given":"Kim W."},{"family":"Norton","given":"Andrew"},{"family":"Lister","given":"T. Andrew"},{"family":"Mesirov","given":"Jill"},{"family":"Neuberg","given":"Donna S."},{"family":"Lander","given":"Eric S."},{"family":"Aster","given":"Jon C."},{"family":"Golub","given":"Todd R."}],"issued":{"date-parts":[["2002",1]]}}}],"schema":"https://github.com/citation-style-language/schema/raw/master/csl-citation.json"} </w:instrText>
      </w:r>
      <w:r>
        <w:fldChar w:fldCharType="separate"/>
      </w:r>
      <w:r w:rsidRPr="00EB4C94">
        <w:t>[18,19]</w:t>
      </w:r>
      <w:r>
        <w:fldChar w:fldCharType="end"/>
      </w:r>
      <w:r>
        <w:t xml:space="preserve">. </w:t>
      </w:r>
      <w:r w:rsidRPr="00EB4C94">
        <w:t>Thus, the balance between B-cell lineage integrity and the acquisition of dedifferentiated, inflammatory, or tissue-remodeling phenotypes may critically influence the response to CD19-directed CAR T-cell therapy.</w:t>
      </w:r>
    </w:p>
    <w:p w14:paraId="0D986FC8" w14:textId="003D0EC1" w:rsidR="00D31724" w:rsidRPr="00EB4C94" w:rsidRDefault="00EB4C94" w:rsidP="00EB4C94">
      <w:pPr>
        <w:pStyle w:val="MDPI31text"/>
      </w:pPr>
      <w:r w:rsidRPr="00EB4C94">
        <w:t xml:space="preserve">To decode this multidimensional evasion network, the present study aimed to investigate the molecular determinants of </w:t>
      </w:r>
      <w:proofErr w:type="spellStart"/>
      <w:r w:rsidR="0042217C">
        <w:t>a</w:t>
      </w:r>
      <w:r w:rsidRPr="00EB4C94">
        <w:t>xi</w:t>
      </w:r>
      <w:proofErr w:type="spellEnd"/>
      <w:r w:rsidRPr="00EB4C94">
        <w:t xml:space="preserve">-cel response by integrating transcriptomic data from the pivotal ZUMA-1 and ZUMA-7 clinical trials. Rather than focusing exclusively on bulk immune infiltration, we systematically evaluated baseline B-cell lineage integrity, canonical exhaustion markers, and the HLA complex. Through this approach, we identified distinct biological pathways of intrinsic resistance, ranging from immune silencing to aggressive tissue remodeling, and established an orthogonally validated transcriptomic </w:t>
      </w:r>
      <w:r w:rsidRPr="00EB4C94">
        <w:lastRenderedPageBreak/>
        <w:t>signature that provides a mechanistic framework to predict CAR T-cell failure and guide future therapeutic strategies.</w:t>
      </w:r>
    </w:p>
    <w:p w14:paraId="2C04F398" w14:textId="77777777" w:rsidR="00F443F6" w:rsidRDefault="00F443F6" w:rsidP="000852E9">
      <w:pPr>
        <w:pStyle w:val="MDPI21heading1"/>
      </w:pPr>
      <w:r w:rsidRPr="006F77DA">
        <w:rPr>
          <w:lang w:eastAsia="zh-CN"/>
        </w:rPr>
        <w:t xml:space="preserve">2. </w:t>
      </w:r>
      <w:r w:rsidRPr="006F77DA">
        <w:t>Materials and Methods</w:t>
      </w:r>
    </w:p>
    <w:p w14:paraId="5D1DEE03" w14:textId="3C807FFA" w:rsidR="00EB4C94" w:rsidRPr="00EB4C94" w:rsidRDefault="00EB4C94" w:rsidP="00EB4C94">
      <w:pPr>
        <w:pStyle w:val="MDPI22heading2"/>
      </w:pPr>
      <w:r w:rsidRPr="00EB4C94">
        <w:t xml:space="preserve">2.1. </w:t>
      </w:r>
      <w:r w:rsidRPr="00EB4C94">
        <w:t>Study Design and Clinical Cohorts</w:t>
      </w:r>
    </w:p>
    <w:p w14:paraId="6A58A2E7" w14:textId="755F3312" w:rsidR="00EB4C94" w:rsidRDefault="00EB4C94" w:rsidP="000852E9">
      <w:pPr>
        <w:pStyle w:val="MDPI31text"/>
      </w:pPr>
      <w:r w:rsidRPr="00EB4C94">
        <w:t xml:space="preserve">This retrospective translational study analyzed transcriptomic and clinical data from patients with relapsed or refractory (r/r) DLBCL treated with the </w:t>
      </w:r>
      <w:proofErr w:type="spellStart"/>
      <w:r w:rsidRPr="00EB4C94">
        <w:t>axicabtagene</w:t>
      </w:r>
      <w:proofErr w:type="spellEnd"/>
      <w:r w:rsidRPr="00EB4C94">
        <w:t xml:space="preserve"> </w:t>
      </w:r>
      <w:proofErr w:type="spellStart"/>
      <w:r w:rsidRPr="00EB4C94">
        <w:t>ciloleucel</w:t>
      </w:r>
      <w:proofErr w:type="spellEnd"/>
      <w:r w:rsidRPr="00EB4C94">
        <w:t xml:space="preserve"> (</w:t>
      </w:r>
      <w:proofErr w:type="spellStart"/>
      <w:r w:rsidR="00262E87">
        <w:t>a</w:t>
      </w:r>
      <w:r w:rsidRPr="00EB4C94">
        <w:t>xi</w:t>
      </w:r>
      <w:proofErr w:type="spellEnd"/>
      <w:r w:rsidRPr="00EB4C94">
        <w:t>-cel) anti-CD19 CAR T-cell therapy. Data were derived from the pivotal ZUMA-1 (NCT02348216, https://clinicaltrials.gov/study/NCT02348216; third-line setting) and ZUMA-7 (NCT03391466, https://clinicaltrials.gov/study/NCT03391466; second-line setting) clinical trials. The TCGA-DLBC cohort (https://portal.gdc.cancer.gov/projects/TCGA-DLBC; N = 47; CAR-T naive) was incorporated as a reference control representing conventional chemoimmunotherapy</w:t>
      </w:r>
      <w:r>
        <w:t>.</w:t>
      </w:r>
    </w:p>
    <w:p w14:paraId="4ED82669" w14:textId="773A4C3D" w:rsidR="00EB4C94" w:rsidRDefault="00EB4C94" w:rsidP="00EB4C94">
      <w:pPr>
        <w:pStyle w:val="MDPI31text"/>
      </w:pPr>
      <w:r w:rsidRPr="00EB4C94">
        <w:t xml:space="preserve">Within the ZUMA-1 cohort, we evaluated baseline (pre-lymphodepletion) profiles (N = 29; 20 Complete Response [CR] vs. 9 Non-CR) alongside paired longitudinal dynamics (post-infusion vs. baseline) in a subset of patients (N = 8, all achieving CR). For the ZUMA-7 study, baseline evaluations were conducted in the experimental </w:t>
      </w:r>
      <w:proofErr w:type="spellStart"/>
      <w:r w:rsidR="00262E87">
        <w:t>a</w:t>
      </w:r>
      <w:r w:rsidRPr="00EB4C94">
        <w:t>xi</w:t>
      </w:r>
      <w:proofErr w:type="spellEnd"/>
      <w:r w:rsidRPr="00EB4C94">
        <w:t>-cel arm (N = 134; 58 Sustained Response, 70 Failure, 6 unclassified) and the standard-of-care (SOC) salvage chemotherapy control arm (N = 122; 18 Sustained Response, 80 Failure, 24 unavailable) to model Event-Free Survival (EFS). Well-established clinical prognostic factors, namely baseline tumor burden (Sum of Product Diameters, SPD) and molecular subtype (Cell of Origin, COO), were extracted as clinical covariates for multivariable adjustments.</w:t>
      </w:r>
    </w:p>
    <w:p w14:paraId="47D4A3B2" w14:textId="77777777" w:rsidR="00EB4C94" w:rsidRDefault="00EB4C94" w:rsidP="00EB4C94">
      <w:pPr>
        <w:pStyle w:val="MDPI31text"/>
      </w:pPr>
    </w:p>
    <w:p w14:paraId="4BD3C4ED" w14:textId="0CFADF75" w:rsidR="00EB4C94" w:rsidRPr="00EB4C94" w:rsidRDefault="00EB4C94" w:rsidP="00EB4C94">
      <w:pPr>
        <w:pStyle w:val="MDPI22heading2"/>
      </w:pPr>
      <w:r w:rsidRPr="00EB4C94">
        <w:t>2.2 Transcriptomic Data Acquisition and Processing</w:t>
      </w:r>
    </w:p>
    <w:p w14:paraId="573B389B" w14:textId="60EA4EE1" w:rsidR="00EB4C94" w:rsidRDefault="00EB4C94" w:rsidP="00EB4C94">
      <w:pPr>
        <w:pStyle w:val="MDPI31text"/>
      </w:pPr>
      <w:r w:rsidRPr="00EB4C94">
        <w:t>Preprocessed gene expression matrices derived from custom microarray platforms were retrieved from the Gene Expression Omnibus (GEO) repository under accession numbers GSE197977 (ZUMA-1 cohort, https://www.ncbi.nlm.nih.gov/geo/query/acc.cgi?acc=GSE197977; 74 samples, 724 genes) and GSE248835 (ZUMA-7 cohort, https://www.ncbi.nlm.nih.gov/geo/query/acc.cgi?acc=GSE248835; 256 samples, 817 transcripts and functional signatures). For clinical response stratification within the ZUMA-7 cohort, patients were categorized into "Sustained" and "Failure" groups, which correspond directly to the "Ongoing" and "Others" clinical outcomes, respectively, as originally defined by Locke et al. (2024). To establish the reference control cohort, RNA sequencing data (RNA-seq, quantified as Transcripts Per Million [TPM]) for the TCGA-DLBC cohort were systematically obtained from the Genomic Data Commons (GDC) portal.</w:t>
      </w:r>
    </w:p>
    <w:p w14:paraId="03CF5A39" w14:textId="5FB882D9" w:rsidR="00EB4C94" w:rsidRDefault="00EB4C94" w:rsidP="00EB4C94">
      <w:pPr>
        <w:pStyle w:val="MDPI31text"/>
      </w:pPr>
      <w:r w:rsidRPr="00EB4C94">
        <w:t>To enable analytical integration across distinct transcriptomic technologies, clinical metadata and feature identifiers were harmonized through unified mapping to official Gene Symbol nomenclature. To mitigate platform-dependent scaling biases, stabilize intrinsic variance, and ensure direct cross-cohort statistical comparability across all three datasets, all absolute expression profiles underwent Log2 transformation prior to inferential and survival modeling.</w:t>
      </w:r>
    </w:p>
    <w:p w14:paraId="340B1EB5" w14:textId="77777777" w:rsidR="00EB4C94" w:rsidRDefault="00EB4C94" w:rsidP="000852E9">
      <w:pPr>
        <w:pStyle w:val="MDPI31text"/>
      </w:pPr>
    </w:p>
    <w:p w14:paraId="64D574E1" w14:textId="57DC0619" w:rsidR="00EB4C94" w:rsidRPr="00EB4C94" w:rsidRDefault="00EB4C94" w:rsidP="00EB4C94">
      <w:pPr>
        <w:pStyle w:val="MDPI22heading2"/>
      </w:pPr>
      <w:r w:rsidRPr="00EB4C94">
        <w:t xml:space="preserve">2.3 Tumor Microenvironment Deconvolution and B-Cell Lineage </w:t>
      </w:r>
      <w:r>
        <w:t>Integrity</w:t>
      </w:r>
    </w:p>
    <w:p w14:paraId="051790C5" w14:textId="4E8B4187" w:rsidR="00EB4C94" w:rsidRDefault="00EB4C94" w:rsidP="000852E9">
      <w:pPr>
        <w:pStyle w:val="MDPI31text"/>
      </w:pPr>
      <w:r w:rsidRPr="00EB4C94">
        <w:t xml:space="preserve">The architecture of the tumor microenvironment (TME) was deconvoluted using the Microenvironment Cell Populations-counter algorithm (MCP-counter; </w:t>
      </w:r>
      <w:proofErr w:type="spellStart"/>
      <w:r w:rsidRPr="00EB4C94">
        <w:t>MCPcounter</w:t>
      </w:r>
      <w:proofErr w:type="spellEnd"/>
      <w:r w:rsidRPr="00EB4C94">
        <w:t xml:space="preserve"> R package v1.2.0)</w:t>
      </w:r>
      <w:r>
        <w:t xml:space="preserve"> </w:t>
      </w:r>
      <w:r w:rsidR="00D53A3B">
        <w:fldChar w:fldCharType="begin"/>
      </w:r>
      <w:r w:rsidR="00D53A3B">
        <w:instrText xml:space="preserve"> ADDIN ZOTERO_ITEM CSL_CITATION {"citationID":"05e1ZJkB","properties":{"unsorted":false,"formattedCitation":"[20]","plainCitation":"[20]","noteIndex":0},"citationItems":[{"id":739,"uris":["http://zotero.org/users/17472926/items/7MCVRY4G"],"itemData":{"id":739,"type":"article-journal","container-title":"Genome Biology","DOI":"10.1186/s13059-016-1070-5","ISSN":"1474-760X","issue":"1","journalAbbreviation":"Genome Biol","language":"en","page":"218","source":"DOI.org (Crossref)","title":"Estimating the population abundance of tissue-infiltrating immune and stromal cell populations using gene expression","volume":"17","author":[{"family":"Becht","given":"Etienne"},{"family":"Giraldo","given":"Nicolas A."},{"family":"Lacroix","given":"Laetitia"},{"family":"Buttard","given":"Bénédicte"},{"family":"Elarouci","given":"Nabila"},{"family":"Petitprez","given":"Florent"},{"family":"Selves","given":"Janick"},{"family":"Laurent-Puig","given":"Pierre"},{"family":"Sautès-Fridman","given":"Catherine"},{"family":"Fridman","given":"Wolf H."},{"family":"De Reyniès","given":"Aurélien"}],"issued":{"date-parts":[["2016",12]]}}}],"schema":"https://github.com/citation-style-language/schema/raw/master/csl-citation.json"} </w:instrText>
      </w:r>
      <w:r w:rsidR="00D53A3B">
        <w:fldChar w:fldCharType="separate"/>
      </w:r>
      <w:r w:rsidR="00D53A3B" w:rsidRPr="00D53A3B">
        <w:t>[20]</w:t>
      </w:r>
      <w:r w:rsidR="00D53A3B">
        <w:fldChar w:fldCharType="end"/>
      </w:r>
      <w:r w:rsidR="00D53A3B">
        <w:t xml:space="preserve">, </w:t>
      </w:r>
      <w:r w:rsidR="00D53A3B" w:rsidRPr="00D53A3B">
        <w:t xml:space="preserve">estimating the abundance scores of eight immune and two stromal populations. To investigate therapeutic target preservation and tumor phenotypic integrity, variations in B-cell lineage abundance and its canonical markers across baseline clinical outcomes were statistically evaluated using the Mann-Whitney U test. </w:t>
      </w:r>
      <w:r w:rsidR="00D53A3B" w:rsidRPr="00D53A3B">
        <w:lastRenderedPageBreak/>
        <w:t>Complementarily, longitudinal remodeling of the tumor ecosystem under CAR T-cell selective pressure (intra-patient post-infusion vs. baseline) was mapped using the Wilcoxon signed-rank test for paired samples.</w:t>
      </w:r>
    </w:p>
    <w:p w14:paraId="08D9B072" w14:textId="77777777" w:rsidR="00D53A3B" w:rsidRDefault="00D53A3B" w:rsidP="000852E9">
      <w:pPr>
        <w:pStyle w:val="MDPI31text"/>
      </w:pPr>
    </w:p>
    <w:p w14:paraId="1A3A6FCB" w14:textId="67881DAE" w:rsidR="00D53A3B" w:rsidRPr="00EB4C94" w:rsidRDefault="00D53A3B" w:rsidP="00D53A3B">
      <w:pPr>
        <w:pStyle w:val="MDPI22heading2"/>
      </w:pPr>
      <w:r w:rsidRPr="00D53A3B">
        <w:t>2.4 Transcriptomic Mapping of Immune Evasion</w:t>
      </w:r>
    </w:p>
    <w:p w14:paraId="72212E8C" w14:textId="741DD962" w:rsidR="00D53A3B" w:rsidRDefault="00D53A3B" w:rsidP="000852E9">
      <w:pPr>
        <w:pStyle w:val="MDPI31text"/>
      </w:pPr>
      <w:r w:rsidRPr="00D53A3B">
        <w:t>To delineate the immunosuppressive architecture and tumor escape potential, transcriptomic profiles associated with T-cell exhaustion and the integrity of the antigen presentation machinery (HLA) were investigated. Aiming for a granular and functional phenotypic assessment, the HLA complex was stratified a priori into four biological axes: classical Class I molecules, the intracellular processing machinery, Class II molecules, and non-classical inhibitory Class I molecules. To identify latent biological clusters, Log2-transformed counts were scaled into Z-scores and subjected to unsupervised hierarchical clustering (Euclidean distance and Ward's linkage method; stats R package v4.6.1) , followed by visualization using multidimensional heatmaps (</w:t>
      </w:r>
      <w:proofErr w:type="spellStart"/>
      <w:r w:rsidRPr="00D53A3B">
        <w:t>ComplexHeatmap</w:t>
      </w:r>
      <w:proofErr w:type="spellEnd"/>
      <w:r w:rsidRPr="00D53A3B">
        <w:t xml:space="preserve"> v2.28.0)</w:t>
      </w:r>
      <w:r>
        <w:t xml:space="preserve"> </w:t>
      </w:r>
      <w:r>
        <w:fldChar w:fldCharType="begin"/>
      </w:r>
      <w:r>
        <w:instrText xml:space="preserve"> ADDIN ZOTERO_ITEM CSL_CITATION {"citationID":"UPcCB0AW","properties":{"unsorted":false,"formattedCitation":"[21]","plainCitation":"[21]","noteIndex":0},"citationItems":[{"id":741,"uris":["http://zotero.org/users/17472926/items/WNL6W8XJ"],"itemData":{"id":741,"type":"article-journal","abstract":"Abstract\n            Summary: Parallel heatmaps with carefully designed annotation graphics are powerful for efficient visualization of patterns and relationships among high dimensional genomic data. Here we present the ComplexHeatmap package that provides rich functionalities for customizing heatmaps, arranging multiple parallel heatmaps and including user-defined annotation graphics. We demonstrate the power of ComplexHeatmap to easily reveal patterns and correlations among multiple sources of information with four real-world datasets.\n            Availability and Implementation: The ComplexHeatmap package and documentation are freely available from the Bioconductor project: http://www.bioconductor.org/packages/devel/bioc/html/ComplexHeatmap.html.\n            Contact:  m.schlesner@dkfz.de\n            Supplementary information:  Supplementary data are available at Bioinformatics online.","container-title":"Bioinformatics","DOI":"10.1093/bioinformatics/btw313","ISSN":"1367-4811, 1367-4803","issue":"18","language":"en","page":"2847-2849","source":"DOI.org (Crossref)","title":"Complex heatmaps reveal patterns and correlations in multidimensional genomic data","volume":"32","author":[{"family":"Gu","given":"Zuguang"},{"family":"Eils","given":"Roland"},{"family":"Schlesner","given":"Matthias"}],"issued":{"date-parts":[["2016",9,15]]}}}],"schema":"https://github.com/citation-style-language/schema/raw/master/csl-citation.json"} </w:instrText>
      </w:r>
      <w:r>
        <w:fldChar w:fldCharType="separate"/>
      </w:r>
      <w:r w:rsidRPr="00D53A3B">
        <w:t>[21]</w:t>
      </w:r>
      <w:r>
        <w:fldChar w:fldCharType="end"/>
      </w:r>
      <w:r>
        <w:t xml:space="preserve">. </w:t>
      </w:r>
      <w:r w:rsidRPr="00D53A3B">
        <w:t xml:space="preserve">Finally, direct </w:t>
      </w:r>
      <w:proofErr w:type="spellStart"/>
      <w:r w:rsidRPr="00D53A3B">
        <w:t>clinico</w:t>
      </w:r>
      <w:proofErr w:type="spellEnd"/>
      <w:r w:rsidRPr="00D53A3B">
        <w:t>-genomic integration was performed by pairing the uncovered evasion profiles with clinical efficacy annotations (Response, EFS), molecular subtype (COO), and continuous tumor burden (SPD).</w:t>
      </w:r>
    </w:p>
    <w:p w14:paraId="28568A86" w14:textId="77777777" w:rsidR="00EB4C94" w:rsidRDefault="00EB4C94" w:rsidP="000852E9">
      <w:pPr>
        <w:pStyle w:val="MDPI31text"/>
      </w:pPr>
    </w:p>
    <w:p w14:paraId="164FC05B" w14:textId="4FD88AD7" w:rsidR="00D53A3B" w:rsidRPr="00EB4C94" w:rsidRDefault="00D53A3B" w:rsidP="00D53A3B">
      <w:pPr>
        <w:pStyle w:val="MDPI22heading2"/>
      </w:pPr>
      <w:r w:rsidRPr="00D53A3B">
        <w:t>2.5 Global Transcriptomic Mapping and Pathway Enrichment</w:t>
      </w:r>
    </w:p>
    <w:p w14:paraId="138015ED" w14:textId="4DF59002" w:rsidR="00EB4C94" w:rsidRDefault="00D53A3B" w:rsidP="000852E9">
      <w:pPr>
        <w:pStyle w:val="MDPI31text"/>
      </w:pPr>
      <w:r w:rsidRPr="00D53A3B">
        <w:t xml:space="preserve">To map the global transcriptomic perturbations underlying primary resistance to </w:t>
      </w:r>
      <w:proofErr w:type="spellStart"/>
      <w:r w:rsidR="00262E87">
        <w:t>a</w:t>
      </w:r>
      <w:r w:rsidRPr="00D53A3B">
        <w:t>xi</w:t>
      </w:r>
      <w:proofErr w:type="spellEnd"/>
      <w:r w:rsidRPr="00D53A3B">
        <w:t xml:space="preserve">-cel, baseline differential expression analysis (DEA) was conducted using the </w:t>
      </w:r>
      <w:proofErr w:type="spellStart"/>
      <w:r w:rsidRPr="00D53A3B">
        <w:t>limma</w:t>
      </w:r>
      <w:proofErr w:type="spellEnd"/>
      <w:r w:rsidRPr="00D53A3B">
        <w:t xml:space="preserve"> R package (v3.68.4)</w:t>
      </w:r>
      <w:r>
        <w:t xml:space="preserve"> </w:t>
      </w:r>
      <w:r>
        <w:fldChar w:fldCharType="begin"/>
      </w:r>
      <w:r>
        <w:instrText xml:space="preserve"> ADDIN ZOTERO_ITEM CSL_CITATION {"citationID":"nCglP4An","properties":{"unsorted":false,"formattedCitation":"[22]","plainCitation":"[22]","noteIndex":0},"citationItems":[{"id":742,"uris":["http://zotero.org/users/17472926/items/GUBJJWX8"],"itemData":{"id":742,"type":"article-journal","container-title":"Nucleic Acids Research","DOI":"10.1093/nar/gkv007","ISSN":"1362-4962, 0305-1048","issue":"7","language":"en","license":"http://creativecommons.org/licenses/by/4.0/","page":"e47-e47","source":"DOI.org (Crossref)","title":"limma powers differential expression analyses for RNA-sequencing and microarray studies","volume":"43","author":[{"family":"Ritchie","given":"Matthew E."},{"family":"Phipson","given":"Belinda"},{"family":"Wu","given":"Di"},{"family":"Hu","given":"Yifang"},{"family":"Law","given":"Charity W."},{"family":"Shi","given":"Wei"},{"family":"Smyth","given":"Gordon K."}],"issued":{"date-parts":[["2015",4,20]]}}}],"schema":"https://github.com/citation-style-language/schema/raw/master/csl-citation.json"} </w:instrText>
      </w:r>
      <w:r>
        <w:fldChar w:fldCharType="separate"/>
      </w:r>
      <w:r w:rsidRPr="00D53A3B">
        <w:t>[22]</w:t>
      </w:r>
      <w:r>
        <w:fldChar w:fldCharType="end"/>
      </w:r>
      <w:r>
        <w:t xml:space="preserve">, </w:t>
      </w:r>
      <w:r w:rsidRPr="00D53A3B">
        <w:t>adopting an exploratory heuristic threshold (nominal p &lt; 0.05, | Log2 | &gt; 0.5) for the initial prospection of signatures. Aiming to translate isolated transcripts into functional programs and capture biological heterogeneity at the individual patient level, Single-Sample Gene Set Enrichment Analysis (</w:t>
      </w:r>
      <w:proofErr w:type="spellStart"/>
      <w:r w:rsidRPr="00D53A3B">
        <w:t>ssGSEA</w:t>
      </w:r>
      <w:proofErr w:type="spellEnd"/>
      <w:r w:rsidRPr="00D53A3B">
        <w:t>; GSVA v2.6.5)</w:t>
      </w:r>
      <w:r>
        <w:t xml:space="preserve"> </w:t>
      </w:r>
      <w:r>
        <w:fldChar w:fldCharType="begin"/>
      </w:r>
      <w:r>
        <w:instrText xml:space="preserve"> ADDIN ZOTERO_ITEM CSL_CITATION {"citationID":"e4f3HT7u","properties":{"unsorted":false,"formattedCitation":"[23]","plainCitation":"[23]","noteIndex":0},"citationItems":[{"id":743,"uris":["http://zotero.org/users/17472926/items/VUBLU8X7"],"itemData":{"id":743,"type":"article-journal","abstract":"Abstract\n            \n              Background\n              Gene set enrichment (GSE) analysis is a popular framework for condensing information from gene expression profiles into a pathway or signature summary. The strengths of this approach over single gene analysis include noise and dimension reduction, as well as greater biological interpretability. As molecular profiling experiments move beyond simple case-control studies, robust and flexible GSE methodologies are needed that can model pathway activity within highly heterogeneous data sets.\n            \n            \n              Results\n              To address this challenge, we introduce Gene Set Variation Analysis (GSVA), a GSE method that estimates variation of pathway activity over a sample population in an unsupervised manner. We demonstrate the robustness of GSVA in a comparison with current state of the art sample-wise enrichment methods. Further, we provide examples of its utility in differential pathway activity and survival analysis. Lastly, we show how GSVA works analogously with data from both microarray and RNA-seq experiments.\n            \n            \n              Conclusions\n              \n                GSVA provides increased power to detect subtle pathway activity changes over a sample population in comparison to corresponding methods. While GSE methods are generally regarded as end points of a bioinformatic analysis, GSVA constitutes a starting point to build pathway-centric models of biology. Moreover, GSVA contributes to the current need of GSE methods for RNA-seq data. GSVA is an open source software package for R which forms part of the Bioconductor project and can be downloaded at\n                http://www.bioconductor.org\n                .","container-title":"BMC Bioinformatics","DOI":"10.1186/1471-2105-14-7","ISSN":"1471-2105","issue":"1","journalAbbreviation":"BMC Bioinformatics","language":"en","page":"7","source":"DOI.org (Crossref)","title":"GSVA: gene set variation analysis for microarray and RNA-Seq data","title-short":"GSVA","volume":"14","author":[{"family":"Hänzelmann","given":"Sonja"},{"family":"Castelo","given":"Robert"},{"family":"Guinney","given":"Justin"}],"issued":{"date-parts":[["2013",12]]}}}],"schema":"https://github.com/citation-style-language/schema/raw/master/csl-citation.json"} </w:instrText>
      </w:r>
      <w:r>
        <w:fldChar w:fldCharType="separate"/>
      </w:r>
      <w:r w:rsidRPr="00D53A3B">
        <w:t>[23]</w:t>
      </w:r>
      <w:r>
        <w:fldChar w:fldCharType="end"/>
      </w:r>
      <w:r>
        <w:t xml:space="preserve"> </w:t>
      </w:r>
      <w:r w:rsidRPr="00D53A3B">
        <w:t xml:space="preserve">was employed. This approach quantified the activation intensity (Mean Normalized Enrichment Score, Mean NES) of eight ontological </w:t>
      </w:r>
      <w:proofErr w:type="spellStart"/>
      <w:r w:rsidRPr="00D53A3B">
        <w:t>macrocategories</w:t>
      </w:r>
      <w:proofErr w:type="spellEnd"/>
      <w:r w:rsidRPr="00D53A3B">
        <w:t xml:space="preserve"> from the </w:t>
      </w:r>
      <w:proofErr w:type="spellStart"/>
      <w:r w:rsidRPr="00D53A3B">
        <w:t>MSigDB</w:t>
      </w:r>
      <w:proofErr w:type="spellEnd"/>
      <w:r w:rsidRPr="00D53A3B">
        <w:t xml:space="preserve"> Hallmark collection</w:t>
      </w:r>
      <w:r>
        <w:t xml:space="preserve"> </w:t>
      </w:r>
      <w:r>
        <w:fldChar w:fldCharType="begin"/>
      </w:r>
      <w:r>
        <w:instrText xml:space="preserve"> ADDIN ZOTERO_ITEM CSL_CITATION {"citationID":"YlelWmSR","properties":{"unsorted":false,"formattedCitation":"[24]","plainCitation":"[24]","noteIndex":0},"citationItems":[{"id":770,"uris":["http://zotero.org/users/17472926/items/2ISQ4HFT"],"itemData":{"id":770,"type":"article-journal","container-title":"Cell Systems","DOI":"10.1016/j.cels.2015.12.004","ISSN":"24054712","issue":"6","journalAbbreviation":"Cell Systems","language":"en","page":"417-425","source":"DOI.org (Crossref)","title":"The Molecular Signatures Database Hallmark Gene Set Collection","volume":"1","author":[{"family":"Liberzon","given":"Arthur"},{"family":"Birger","given":"Chet"},{"family":"Thorvaldsdóttir","given":"Helga"},{"family":"Ghandi","given":"Mahmoud"},{"family":"Mesirov","given":"Jill P."},{"family":"Tamayo","given":"Pablo"}],"issued":{"date-parts":[["2015",12]]}}}],"schema":"https://github.com/citation-style-language/schema/raw/master/csl-citation.json"} </w:instrText>
      </w:r>
      <w:r>
        <w:fldChar w:fldCharType="separate"/>
      </w:r>
      <w:r w:rsidRPr="00D53A3B">
        <w:t>[24]</w:t>
      </w:r>
      <w:r>
        <w:fldChar w:fldCharType="end"/>
      </w:r>
      <w:r>
        <w:t xml:space="preserve">. </w:t>
      </w:r>
      <w:r w:rsidRPr="00D53A3B">
        <w:t>Complementarily, to identify the core mechanistic axes driving therapeutic failure at the population level, classical GSEA (</w:t>
      </w:r>
      <w:proofErr w:type="spellStart"/>
      <w:r w:rsidRPr="00D53A3B">
        <w:t>fgsea</w:t>
      </w:r>
      <w:proofErr w:type="spellEnd"/>
      <w:r w:rsidRPr="00D53A3B">
        <w:t xml:space="preserve"> v1.38.0)</w:t>
      </w:r>
      <w:r>
        <w:t xml:space="preserve"> </w:t>
      </w:r>
      <w:r>
        <w:fldChar w:fldCharType="begin"/>
      </w:r>
      <w:r>
        <w:instrText xml:space="preserve"> ADDIN ZOTERO_ITEM CSL_CITATION {"citationID":"W2hrUTEe","properties":{"unsorted":false,"formattedCitation":"[25]","plainCitation":"[25]","noteIndex":0},"citationItems":[{"id":746,"uris":["http://zotero.org/users/17472926/items/4BGGKT9H"],"itemData":{"id":746,"type":"article","abstract":"Abstract\n          Gene set enrichment analysis (GSEA) is an ubiquitously used tool for evaluating pathway enrichment in transcriptional data. Typical experimental design consists in comparing two conditions with several replicates using a differential gene expression test followed by preranked GSEA performed against a collection of hundreds and thousands of pathways. However, the reference implementation of this method cannot accurately estimate small P-values, which significantly limits its sensitivity due to multiple hypotheses correction procedure.\n          \n            Here we present FGSEA (Fast Gene Set Enrichment Analysis) method that is able to estimate arbitrarily low GSEA P-values with a high accuracy in a matter of minutes or even seconds. To confirm the accuracy of the method, we also developed an exact algorithm for GSEA P-values calculation for integer gene-level statistics. Using the exact algorithm as a reference we show that FGSEA is able to routinely estimate P-values up to 10\n            −100\n            with a small and predictable estimation error. We systematically evaluate FGSEA on a collection of 605 datasets and show that FGSEA recovers much more statistically significant pathways compared to other implementations.\n          \n          \n            FGSEA is open source and available as an R package in Bioconductor (\n            http://bioconductor.org/packages/fgsea/\n            ) and on GitHub (\n            https://github.com/ctlab/fgsea/\n            ).","DOI":"10.1101/060012","language":"en","license":"http://creativecommons.org/licenses/by/4.0/","publisher":"Bioinformatics","source":"DOI.org (Crossref)","title":"Fast gene set enrichment analysis","URL":"http://biorxiv.org/lookup/doi/10.1101/060012","author":[{"family":"Korotkevich","given":"Gennady"},{"family":"Sukhov","given":"Vladimir"},{"family":"Budin","given":"Nikolay"},{"family":"Shpak","given":"Boris"},{"family":"Artyomov","given":"Maxim N."},{"family":"Sergushichev","given":"Alexey"}],"accessed":{"date-parts":[["2026",8,1]]},"issued":{"date-parts":[["2016",6,20]]}}}],"schema":"https://github.com/citation-style-language/schema/raw/master/csl-citation.json"} </w:instrText>
      </w:r>
      <w:r>
        <w:fldChar w:fldCharType="separate"/>
      </w:r>
      <w:r w:rsidRPr="00D53A3B">
        <w:t>[25]</w:t>
      </w:r>
      <w:r>
        <w:fldChar w:fldCharType="end"/>
      </w:r>
      <w:r>
        <w:t xml:space="preserve"> </w:t>
      </w:r>
      <w:r w:rsidRPr="00D53A3B">
        <w:t xml:space="preserve">was performed based on the continuous statistical ranking derived from </w:t>
      </w:r>
      <w:proofErr w:type="spellStart"/>
      <w:r w:rsidRPr="00D53A3B">
        <w:t>limma</w:t>
      </w:r>
      <w:proofErr w:type="spellEnd"/>
      <w:r w:rsidRPr="00D53A3B">
        <w:t xml:space="preserve"> (adjusted p &lt; 0.05).</w:t>
      </w:r>
    </w:p>
    <w:p w14:paraId="6A933843" w14:textId="77777777" w:rsidR="00D53A3B" w:rsidRDefault="00D53A3B" w:rsidP="000852E9">
      <w:pPr>
        <w:pStyle w:val="MDPI31text"/>
      </w:pPr>
    </w:p>
    <w:p w14:paraId="196496DA" w14:textId="1324430E" w:rsidR="00D53A3B" w:rsidRPr="00EB4C94" w:rsidRDefault="00D53A3B" w:rsidP="00D53A3B">
      <w:pPr>
        <w:pStyle w:val="MDPI22heading2"/>
      </w:pPr>
      <w:r w:rsidRPr="00D53A3B">
        <w:t>2.6 Prognostic Modeling and Tumor Microenvironment Dynamic</w:t>
      </w:r>
    </w:p>
    <w:p w14:paraId="5C8B76F4" w14:textId="2F7BF69E" w:rsidR="00D53A3B" w:rsidRDefault="00D53A3B" w:rsidP="000852E9">
      <w:pPr>
        <w:pStyle w:val="MDPI31text"/>
      </w:pPr>
      <w:r w:rsidRPr="00D53A3B">
        <w:t xml:space="preserve">To determine the clinical impact of transcriptomic signatures on therapeutic efficacy, EFS within the ZUMA-7 cohort was modeled using Kaplan-Meier estimates and the log-rank test (survival R package v3.8.6, </w:t>
      </w:r>
      <w:proofErr w:type="spellStart"/>
      <w:r w:rsidRPr="00D53A3B">
        <w:t>survminer</w:t>
      </w:r>
      <w:proofErr w:type="spellEnd"/>
      <w:r w:rsidRPr="00D53A3B">
        <w:t xml:space="preserve"> v0.5.2)</w:t>
      </w:r>
      <w:r>
        <w:t xml:space="preserve"> </w:t>
      </w:r>
      <w:r>
        <w:fldChar w:fldCharType="begin"/>
      </w:r>
      <w:r w:rsidR="00CF6980">
        <w:instrText xml:space="preserve"> ADDIN ZOTERO_ITEM CSL_CITATION {"citationID":"Kx4HNq6p","properties":{"unsorted":false,"formattedCitation":"[26,27]","plainCitation":"[26,27]","noteIndex":0},"citationItems":[{"id":748,"uris":["http://zotero.org/users/17472926/items/7KMTVB75"],"itemData":{"id":748,"type":"dataset","abstract":"Contains the core survival analysis routines, including definition of Surv objects,  Kaplan-Meier and Aalen-Johansen (multi-state) curves, Cox models, and parametric accelerated failure time models.","DOI":"10.32614/CRAN.package.survival","language":"en","note":"Institution: Comprehensive R Archive Network\npage: 3.8-9","source":"DOI.org (Crossref)","title":"survival: Survival Analysis","title-short":"survival","URL":"https://CRAN.R-project.org/package=survival","author":[{"family":"Therneau","given":"Terry M"}],"accessed":{"date-parts":[["2026",8,1]]},"issued":{"date-parts":[["2001",6,22]]}}},{"id":750,"uris":["http://zotero.org/users/17472926/items/S9C5Z6TG"],"itemData":{"id":750,"type":"dataset","abstract":"Contains the function 'ggsurvplot()' for drawing easily beautiful and 'ready-to-publish' survival curves with the 'number at risk' table and 'censoring count plot'. Other functions are also available to plot  adjusted curves for `Cox` model and to visually examine 'Cox' model assumptions.","DOI":"10.32614/CRAN.package.survminer","language":"en","note":"Institution: Comprehensive R Archive Network\npage: 0.5.2","source":"DOI.org (Crossref)","title":"survminer: Drawing Survival Curves using 'ggplot2'","title-short":"survminer","URL":"https://CRAN.R-project.org/package=survminer","author":[{"family":"Kassambara","given":"Alboukadel"},{"family":"Kosinski","given":"Marcin"},{"family":"Biecek","given":"Przemyslaw"}],"accessed":{"date-parts":[["2026",8,1]]},"issued":{"date-parts":[["2016",1,18]]}}}],"schema":"https://github.com/citation-style-language/schema/raw/master/csl-citation.json"} </w:instrText>
      </w:r>
      <w:r>
        <w:fldChar w:fldCharType="separate"/>
      </w:r>
      <w:r w:rsidR="00CF6980" w:rsidRPr="00CF6980">
        <w:t>[26,27]</w:t>
      </w:r>
      <w:r>
        <w:fldChar w:fldCharType="end"/>
      </w:r>
      <w:r w:rsidR="00CF6980">
        <w:t xml:space="preserve">. </w:t>
      </w:r>
      <w:r w:rsidR="00CF6980" w:rsidRPr="00CF6980">
        <w:t xml:space="preserve">Patient stratification was strictly based on the intra-cohort median expression, ensuring a standardized analytical threshold and mitigating </w:t>
      </w:r>
      <w:proofErr w:type="spellStart"/>
      <w:r w:rsidR="00CF6980" w:rsidRPr="00CF6980">
        <w:t>cutpoint</w:t>
      </w:r>
      <w:proofErr w:type="spellEnd"/>
      <w:r w:rsidR="00CF6980" w:rsidRPr="00CF6980">
        <w:t xml:space="preserve"> optimization biases (</w:t>
      </w:r>
      <w:proofErr w:type="spellStart"/>
      <w:r w:rsidR="00CF6980" w:rsidRPr="00CF6980">
        <w:t>cutpoint</w:t>
      </w:r>
      <w:proofErr w:type="spellEnd"/>
      <w:r w:rsidR="00CF6980" w:rsidRPr="00CF6980">
        <w:t xml:space="preserve"> overfitting). Aiming to validate the independent prognostic value of the signatures and isolate their effect from well-established clinical confounders, multivariable Cox proportional hazards regression models were constructed to derive Hazard Ratios (HR) adjusted for baseline tumor burden (Sum of Product Diameters, SPD) and molecular subtype (Cell of Origin, COO). Finally, to elucidate the functional dynamics within the tumor ecosystem, the network of interactions between candidate biomarkers and the absolute abundance of immune and stromal populations (estimated via MCP-counter) was mapped using Spearman's rank correlation (stats v4.6.1).</w:t>
      </w:r>
    </w:p>
    <w:p w14:paraId="1FDCF3B9" w14:textId="77777777" w:rsidR="00CF6980" w:rsidRDefault="00CF6980" w:rsidP="000852E9">
      <w:pPr>
        <w:pStyle w:val="MDPI31text"/>
      </w:pPr>
    </w:p>
    <w:p w14:paraId="18894A1F" w14:textId="6D000043" w:rsidR="00CF6980" w:rsidRPr="00EB4C94" w:rsidRDefault="00CF6980" w:rsidP="00CF6980">
      <w:pPr>
        <w:pStyle w:val="MDPI22heading2"/>
      </w:pPr>
      <w:r w:rsidRPr="00CF6980">
        <w:t>2.7 Validation of Therapeutic Specificity</w:t>
      </w:r>
    </w:p>
    <w:p w14:paraId="0A171A09" w14:textId="77777777" w:rsidR="00CF6980" w:rsidRDefault="00CF6980" w:rsidP="000852E9">
      <w:pPr>
        <w:pStyle w:val="MDPI31text"/>
      </w:pPr>
    </w:p>
    <w:p w14:paraId="33D4EE4B" w14:textId="6D7CCDB2" w:rsidR="00EB4C94" w:rsidRDefault="00CF6980" w:rsidP="000852E9">
      <w:pPr>
        <w:pStyle w:val="MDPI31text"/>
      </w:pPr>
      <w:r w:rsidRPr="00CF6980">
        <w:lastRenderedPageBreak/>
        <w:t xml:space="preserve">To conclusively discriminate strict predictive value (specific to cellular immunotherapy) from mere general prognostic impact (inherent to baseline DLBCL aggressiveness), the therapeutic specificity of the biomarkers was assessed through orthogonal validation across three independent clinical scenarios. Maintaining standardized stratification by median expression, the genomic impact was modeled on EFS in the experimental arm (ZUMA-7 </w:t>
      </w:r>
      <w:proofErr w:type="spellStart"/>
      <w:r w:rsidR="00262E87">
        <w:t>a</w:t>
      </w:r>
      <w:r w:rsidRPr="00CF6980">
        <w:t>xi</w:t>
      </w:r>
      <w:proofErr w:type="spellEnd"/>
      <w:r w:rsidRPr="00CF6980">
        <w:t xml:space="preserve">-cel) and directly contrasted with two conventional therapy groups: EFS in the control arm (ZUMA-7 SOC; salvage setting) and Overall Survival (OS) in the TCGA-DLBC cohort (R-CHOP; first-line setting). Under this rigorous design, the retention of statistical significance (p &lt; 0.05) exclusively within the </w:t>
      </w:r>
      <w:proofErr w:type="spellStart"/>
      <w:r w:rsidR="00262E87">
        <w:t>a</w:t>
      </w:r>
      <w:r w:rsidRPr="00CF6980">
        <w:t>xi</w:t>
      </w:r>
      <w:proofErr w:type="spellEnd"/>
      <w:r w:rsidRPr="00CF6980">
        <w:t>-cel cohort classified the transcript as a genuine predictor of specific anti-CD19 CAR T-cell evasion, thereby ruling out markers of non-specific tumor aggressiveness</w:t>
      </w:r>
      <w:r>
        <w:t>.</w:t>
      </w:r>
    </w:p>
    <w:p w14:paraId="55F0EF53" w14:textId="77777777" w:rsidR="00EB4C94" w:rsidRDefault="00EB4C94" w:rsidP="000852E9">
      <w:pPr>
        <w:pStyle w:val="MDPI31text"/>
      </w:pPr>
    </w:p>
    <w:p w14:paraId="1BF3EF7F" w14:textId="3F6C5229" w:rsidR="00CF6980" w:rsidRPr="00EB4C94" w:rsidRDefault="00CF6980" w:rsidP="00CF6980">
      <w:pPr>
        <w:pStyle w:val="MDPI22heading2"/>
      </w:pPr>
      <w:r w:rsidRPr="00CF6980">
        <w:t>2.8 Analytical Integration and Cross-Validation with Pivotal Literature</w:t>
      </w:r>
    </w:p>
    <w:p w14:paraId="721A5A2B" w14:textId="2C2A8101" w:rsidR="00EB4C94" w:rsidRDefault="00CF6980" w:rsidP="000852E9">
      <w:pPr>
        <w:pStyle w:val="MDPI31text"/>
      </w:pPr>
      <w:r w:rsidRPr="00CF6980">
        <w:t>To contextualize the biological originality and translational robustness of our findings, the predictive value of the biomarker panel was subjected to systematic cross-validation against the genomic data reported in the original publications of the ZUMA-1 and ZUMA-7 trials. The predictive profile of each transcript was methodologically categorized based on its direct concordance with the literature, structuring the validation framework into three comparative scenarios: (I) Broad Concordance, encompassing biomarkers whose predictive effects were simultaneously confirmed by the original findings of both cohorts; (II) Cohort-Specific Concordance, including transcripts primarily supported by only one of the trials (ZUMA-1 or ZUMA-7), reflecting biological nuances potentially associated with the line of therapy; and (III) Emerging Significance/Novelty, grouping biological targets characterized in the original literature as inconclusive, non-specific, or not reported (NR), but which acquired autonomous and validated predictive significance in the current study through multivariable Cox modeling for EFS.</w:t>
      </w:r>
    </w:p>
    <w:p w14:paraId="69EA2890" w14:textId="77777777" w:rsidR="00CF6980" w:rsidRDefault="00CF6980" w:rsidP="000852E9">
      <w:pPr>
        <w:pStyle w:val="MDPI31text"/>
      </w:pPr>
    </w:p>
    <w:p w14:paraId="1A7E53FE" w14:textId="085224DD" w:rsidR="00CF6980" w:rsidRPr="00EB4C94" w:rsidRDefault="00CF6980" w:rsidP="00CF6980">
      <w:pPr>
        <w:pStyle w:val="MDPI22heading2"/>
      </w:pPr>
      <w:r>
        <w:t xml:space="preserve">2.9 </w:t>
      </w:r>
      <w:r w:rsidRPr="00CF6980">
        <w:t>Biological Integration and Representation of the Mechanistic Model</w:t>
      </w:r>
    </w:p>
    <w:p w14:paraId="314B8F2E" w14:textId="74F0ABA1" w:rsidR="00CF6980" w:rsidRDefault="00CF6980" w:rsidP="000852E9">
      <w:pPr>
        <w:pStyle w:val="MDPI31text"/>
      </w:pPr>
      <w:r w:rsidRPr="00CF6980">
        <w:t>To synthesize the complexity of the tumor ecosystem and provide a unified translational interpretation of the findings, a conceptual mechanistic model was developed. This model resulted from the topological integration of the study's three core analytical frameworks: (I) the directionality of enriched functional pathways (GSEA/</w:t>
      </w:r>
      <w:proofErr w:type="spellStart"/>
      <w:r w:rsidRPr="00CF6980">
        <w:t>ssGSEA</w:t>
      </w:r>
      <w:proofErr w:type="spellEnd"/>
      <w:r w:rsidRPr="00CF6980">
        <w:t xml:space="preserve">); (II) the architecture and composition of the cellular microenvironment (MCP-counter); and (III) the validated predictive impact on clinical survival (Cox and Kaplan-Meier modeling across the ZUMA-1, ZUMA-7, and TCGA cohorts). The integrative diagram -phenotypically dichotomized into axes of immune resistance/evasion and programs of sensitivity/target preservation under CAR T-cell selective pressure - was compiled and illustrated using the </w:t>
      </w:r>
      <w:proofErr w:type="spellStart"/>
      <w:r w:rsidRPr="00CF6980">
        <w:t>BioRender</w:t>
      </w:r>
      <w:proofErr w:type="spellEnd"/>
      <w:r w:rsidRPr="00CF6980">
        <w:t xml:space="preserve"> platform (https://biorender.com).</w:t>
      </w:r>
    </w:p>
    <w:p w14:paraId="15BDA2C3" w14:textId="77777777" w:rsidR="00CF6980" w:rsidRDefault="00CF6980" w:rsidP="000852E9">
      <w:pPr>
        <w:pStyle w:val="MDPI31text"/>
      </w:pPr>
    </w:p>
    <w:p w14:paraId="386797CC" w14:textId="60AFBEF9" w:rsidR="00CF6980" w:rsidRPr="00EB4C94" w:rsidRDefault="00CF6980" w:rsidP="00CF6980">
      <w:pPr>
        <w:pStyle w:val="MDPI22heading2"/>
      </w:pPr>
      <w:r w:rsidRPr="00CF6980">
        <w:t>2.10 Statistical Analysis and Data Visualization</w:t>
      </w:r>
    </w:p>
    <w:p w14:paraId="03796A3E" w14:textId="14EE0F5F" w:rsidR="00CF6980" w:rsidRDefault="00CF6980" w:rsidP="000852E9">
      <w:pPr>
        <w:pStyle w:val="MDPI31text"/>
      </w:pPr>
      <w:r w:rsidRPr="00CF6980">
        <w:t>All analytical processing and statistical modeling were executed within the R computational environment (version 4.6.1). The distribution of continuous variables between independent groups was evaluated using the non-parametric Mann-Whitney U test, whereas the Wilcoxon signed-rank test was applied for intra-patient paired longitudinal measurements</w:t>
      </w:r>
      <w:r>
        <w:t xml:space="preserve"> </w:t>
      </w:r>
      <w:r>
        <w:fldChar w:fldCharType="begin"/>
      </w:r>
      <w:r>
        <w:instrText xml:space="preserve"> ADDIN ZOTERO_ITEM CSL_CITATION {"citationID":"WOculFsD","properties":{"unsorted":false,"formattedCitation":"[28,29]","plainCitation":"[28,29]","noteIndex":0},"citationItems":[{"id":752,"uris":["http://zotero.org/users/17472926/items/Z8VEJRWF"],"itemData":{"id":752,"type":"article-journal","container-title":"Biometrics Bulletin","DOI":"10.2307/3001968","ISSN":"00994987","issue":"6","journalAbbreviation":"Biometrics Bulletin","page":"80","source":"DOI.org (Crossref)","title":"Individual Comparisons by Ranking Methods","volume":"1","author":[{"family":"Wilcoxon","given":"Frank"}],"issued":{"date-parts":[["1945",12]]}}},{"id":751,"uris":["http://zotero.org/users/17472926/items/T96EHEJK"],"itemData":{"id":751,"type":"article-journal","container-title":"The Annals of Mathematical Statistics","DOI":"10.1214/aoms/1177730491","ISSN":"0003-4851","issue":"1","journalAbbreviation":"Ann. Math. Statist.","language":"en","page":"50-60","source":"DOI.org (Crossref)","title":"On a Test of Whether one of Two Random Variables is Stochastically Larger than the Other","volume":"18","author":[{"family":"Mann","given":"H. B."},{"family":"Whitney","given":"D. R."}],"issued":{"date-parts":[["1947",3]]}}}],"schema":"https://github.com/citation-style-language/schema/raw/master/csl-citation.json"} </w:instrText>
      </w:r>
      <w:r>
        <w:fldChar w:fldCharType="separate"/>
      </w:r>
      <w:r w:rsidRPr="00CF6980">
        <w:t>[28,29]</w:t>
      </w:r>
      <w:r>
        <w:fldChar w:fldCharType="end"/>
      </w:r>
      <w:r>
        <w:t xml:space="preserve">. </w:t>
      </w:r>
      <w:r w:rsidRPr="00CF6980">
        <w:t>Bivariate associations, such as the covariance between gene expression and immune populations, were quantified using Spearman's rank correlation coefficient.</w:t>
      </w:r>
    </w:p>
    <w:p w14:paraId="6247D1F4" w14:textId="6D38C008" w:rsidR="00CF6980" w:rsidRDefault="00CF6980" w:rsidP="000852E9">
      <w:pPr>
        <w:pStyle w:val="MDPI31text"/>
      </w:pPr>
      <w:r w:rsidRPr="00CF6980">
        <w:t xml:space="preserve">Statistical significance for survival probability estimates (Kaplan-Meier) was assessed via the log-rank test. Multivariable Cox proportional hazards regression was employed to derive Hazard Ratios (HR) and their respective 95% confidence intervals (95% </w:t>
      </w:r>
      <w:r w:rsidRPr="00CF6980">
        <w:lastRenderedPageBreak/>
        <w:t xml:space="preserve">CI), with the mathematical validity of the models confirmed through the analysis of Schoenfeld residuals, ensuring adherence to the proportional </w:t>
      </w:r>
      <w:proofErr w:type="gramStart"/>
      <w:r w:rsidRPr="00CF6980">
        <w:t>hazards</w:t>
      </w:r>
      <w:proofErr w:type="gramEnd"/>
      <w:r w:rsidRPr="00CF6980">
        <w:t xml:space="preserve"> assumption.</w:t>
      </w:r>
    </w:p>
    <w:p w14:paraId="65AEBAC5" w14:textId="72182302" w:rsidR="00CF6980" w:rsidRDefault="00CF6980" w:rsidP="000852E9">
      <w:pPr>
        <w:pStyle w:val="MDPI31text"/>
      </w:pPr>
      <w:r w:rsidRPr="00CF6980">
        <w:t>To mitigate the inflation of false positives (Type I error) inherent to genomic multiple testing scenarios (DEA and GSEA), nominal p-values were systematically adjusted using the Benjamini-Hochberg method, thereby controlling the False Discovery Rate (FDR)</w:t>
      </w:r>
      <w:r>
        <w:t xml:space="preserve"> </w:t>
      </w:r>
      <w:r>
        <w:fldChar w:fldCharType="begin"/>
      </w:r>
      <w:r>
        <w:instrText xml:space="preserve"> ADDIN ZOTERO_ITEM CSL_CITATION {"citationID":"cnZ7j9Un","properties":{"unsorted":false,"formattedCitation":"[30]","plainCitation":"[30]","noteIndex":0},"citationItems":[{"id":755,"uris":["http://zotero.org/users/17472926/items/X93IQBTK"],"itemData":{"id":755,"type":"article-journal","abstract":"SUMMARY\n            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Statistical Methodology","DOI":"10.1111/j.2517-6161.1995.tb02031.x","ISSN":"1369-7412, 1467-9868","issue":"1","language":"en","license":"https://academic.oup.com/journals/pages/open_access/funder_policies/chorus/standard_publication_model","page":"289-300","source":"DOI.org (Crossref)","title":"Controlling the False Discovery Rate: A Practical and Powerful Approach to Multiple Testing","title-short":"Controlling the False Discovery Rate","volume":"57","author":[{"family":"Benjamini","given":"Yoav"},{"family":"Hochberg","given":"Yosef"}],"issued":{"date-parts":[["1995",1,1]]}}}],"schema":"https://github.com/citation-style-language/schema/raw/master/csl-citation.json"} </w:instrText>
      </w:r>
      <w:r>
        <w:fldChar w:fldCharType="separate"/>
      </w:r>
      <w:r w:rsidRPr="00CF6980">
        <w:t>[30]</w:t>
      </w:r>
      <w:r>
        <w:fldChar w:fldCharType="end"/>
      </w:r>
      <w:r>
        <w:t xml:space="preserve">. </w:t>
      </w:r>
      <w:r w:rsidRPr="00CF6980">
        <w:t>A two-tailed statistical significance threshold of p &lt; 0.05 was adopted a priori across all inferential analyses. The visualization of high-dimensional complex data was orchestrated primarily utilizing the ggplot2 (v4.0.3)</w:t>
      </w:r>
      <w:r>
        <w:t xml:space="preserve"> </w:t>
      </w:r>
      <w:r>
        <w:fldChar w:fldCharType="begin"/>
      </w:r>
      <w:r>
        <w:instrText xml:space="preserve"> ADDIN ZOTERO_ITEM CSL_CITATION {"citationID":"wwpAeivv","properties":{"unsorted":false,"formattedCitation":"[31]","plainCitation":"[31]","noteIndex":0},"citationItems":[{"id":753,"uris":["http://zotero.org/users/17472926/items/LEMGHEZM"],"itemData":{"id":753,"type":"chapter","container-title":"ggplot2","DOI":"10.1007/978-3-319-24277-4_9","ISBN":"978-3-319-24275-0","license":"http://www.springer.com/tdm","note":"collection-title: Use R!","page":"189-201","publisher":"Springer International Publishing","publisher-place":"Cham","source":"DOI.org (Crossref)","title":"Data Analysis","URL":"http://link.springer.com/10.1007/978-3-319-24277-4_9","container-author":[{"family":"Wickham","given":"Hadley"}],"author":[{"family":"Wickham","given":"Hadley"}],"accessed":{"date-parts":[["2026",8,1]]},"issued":{"date-parts":[["2016"]]}}}],"schema":"https://github.com/citation-style-language/schema/raw/master/csl-citation.json"} </w:instrText>
      </w:r>
      <w:r>
        <w:fldChar w:fldCharType="separate"/>
      </w:r>
      <w:r w:rsidRPr="00CF6980">
        <w:t>[31]</w:t>
      </w:r>
      <w:r>
        <w:fldChar w:fldCharType="end"/>
      </w:r>
      <w:r>
        <w:t xml:space="preserve">, </w:t>
      </w:r>
      <w:proofErr w:type="spellStart"/>
      <w:r w:rsidRPr="00CF6980">
        <w:t>ComplexHeatmap</w:t>
      </w:r>
      <w:proofErr w:type="spellEnd"/>
      <w:r w:rsidRPr="00CF6980">
        <w:t xml:space="preserve"> (v2.28.0)</w:t>
      </w:r>
      <w:r>
        <w:t xml:space="preserve"> </w:t>
      </w:r>
      <w:r>
        <w:fldChar w:fldCharType="begin"/>
      </w:r>
      <w:r>
        <w:instrText xml:space="preserve"> ADDIN ZOTERO_ITEM CSL_CITATION {"citationID":"as7Id563","properties":{"unsorted":false,"formattedCitation":"[32]","plainCitation":"[32]","noteIndex":0},"citationItems":[{"id":754,"uris":["http://zotero.org/users/17472926/items/82S5PRY2"],"itemData":{"id":754,"type":"software","DOI":"10.18129/B9.BIOC.COMPLEXHEATMAP","publisher":"Bioconductor","source":"DOI.org (Datacite)","title":"ComplexHeatmap","URL":"https://bioconductor.org/packages/ComplexHeatmap","author":[{"literal":"Zuguang Gu"}],"accessed":{"date-parts":[["2026",8,1]]},"issued":{"date-parts":[["2017"]]}}}],"schema":"https://github.com/citation-style-language/schema/raw/master/csl-citation.json"} </w:instrText>
      </w:r>
      <w:r>
        <w:fldChar w:fldCharType="separate"/>
      </w:r>
      <w:r w:rsidRPr="00CF6980">
        <w:t>[32]</w:t>
      </w:r>
      <w:r>
        <w:fldChar w:fldCharType="end"/>
      </w:r>
      <w:r>
        <w:t xml:space="preserve">, </w:t>
      </w:r>
      <w:r w:rsidRPr="00CF6980">
        <w:t xml:space="preserve">and </w:t>
      </w:r>
      <w:proofErr w:type="spellStart"/>
      <w:r w:rsidRPr="00CF6980">
        <w:t>survminer</w:t>
      </w:r>
      <w:proofErr w:type="spellEnd"/>
      <w:r w:rsidRPr="00CF6980">
        <w:t xml:space="preserve"> (v0.5.2)</w:t>
      </w:r>
      <w:r>
        <w:t xml:space="preserve"> </w:t>
      </w:r>
      <w:r>
        <w:fldChar w:fldCharType="begin"/>
      </w:r>
      <w:r>
        <w:instrText xml:space="preserve"> ADDIN ZOTERO_ITEM CSL_CITATION {"citationID":"YbbF6Fm6","properties":{"unsorted":false,"formattedCitation":"[27]","plainCitation":"[27]","noteIndex":0},"citationItems":[{"id":750,"uris":["http://zotero.org/users/17472926/items/S9C5Z6TG"],"itemData":{"id":750,"type":"dataset","abstract":"Contains the function 'ggsurvplot()' for drawing easily beautiful and 'ready-to-publish' survival curves with the 'number at risk' table and 'censoring count plot'. Other functions are also available to plot  adjusted curves for `Cox` model and to visually examine 'Cox' model assumptions.","DOI":"10.32614/CRAN.package.survminer","language":"en","note":"Institution: Comprehensive R Archive Network\npage: 0.5.2","source":"DOI.org (Crossref)","title":"survminer: Drawing Survival Curves using 'ggplot2'","title-short":"survminer","URL":"https://CRAN.R-project.org/package=survminer","author":[{"family":"Kassambara","given":"Alboukadel"},{"family":"Kosinski","given":"Marcin"},{"family":"Biecek","given":"Przemyslaw"}],"accessed":{"date-parts":[["2026",8,1]]},"issued":{"date-parts":[["2016",1,18]]}}}],"schema":"https://github.com/citation-style-language/schema/raw/master/csl-citation.json"} </w:instrText>
      </w:r>
      <w:r>
        <w:fldChar w:fldCharType="separate"/>
      </w:r>
      <w:r w:rsidRPr="00CF6980">
        <w:t>[27]</w:t>
      </w:r>
      <w:r>
        <w:fldChar w:fldCharType="end"/>
      </w:r>
      <w:r>
        <w:t xml:space="preserve"> </w:t>
      </w:r>
      <w:r w:rsidRPr="00CF6980">
        <w:t>R packages.</w:t>
      </w:r>
    </w:p>
    <w:p w14:paraId="5F2F84FE" w14:textId="77777777" w:rsidR="00CF6980" w:rsidRDefault="00CF6980" w:rsidP="000852E9">
      <w:pPr>
        <w:pStyle w:val="MDPI31text"/>
      </w:pPr>
    </w:p>
    <w:p w14:paraId="46F0DFF7" w14:textId="77777777" w:rsidR="00F443F6" w:rsidRPr="006F77DA" w:rsidRDefault="00F443F6" w:rsidP="000852E9">
      <w:pPr>
        <w:pStyle w:val="MDPI21heading1"/>
      </w:pPr>
      <w:r w:rsidRPr="006F77DA">
        <w:t>3. Results</w:t>
      </w:r>
    </w:p>
    <w:p w14:paraId="4F9B081A" w14:textId="556119CF" w:rsidR="007D01FF" w:rsidRPr="006F77DA" w:rsidRDefault="007D01FF" w:rsidP="007D01FF">
      <w:pPr>
        <w:pStyle w:val="MDPI22heading2"/>
        <w:spacing w:before="240"/>
        <w:rPr>
          <w:noProof w:val="0"/>
        </w:rPr>
      </w:pPr>
      <w:r w:rsidRPr="007D01FF">
        <w:rPr>
          <w:noProof w:val="0"/>
        </w:rPr>
        <w:t xml:space="preserve">3.1 B-Cell Lineage Integrity, Not Just Isolated CD19 Expression, Dictates Response to </w:t>
      </w:r>
      <w:proofErr w:type="spellStart"/>
      <w:r w:rsidR="00262E87">
        <w:rPr>
          <w:noProof w:val="0"/>
        </w:rPr>
        <w:t>a</w:t>
      </w:r>
      <w:r w:rsidRPr="007D01FF">
        <w:rPr>
          <w:noProof w:val="0"/>
        </w:rPr>
        <w:t>xi</w:t>
      </w:r>
      <w:proofErr w:type="spellEnd"/>
      <w:r w:rsidRPr="007D01FF">
        <w:rPr>
          <w:noProof w:val="0"/>
        </w:rPr>
        <w:t>-cel</w:t>
      </w:r>
    </w:p>
    <w:p w14:paraId="7740D9BC" w14:textId="61DA1A5F" w:rsidR="007D01FF" w:rsidRDefault="007D01FF" w:rsidP="000852E9">
      <w:pPr>
        <w:pStyle w:val="MDPI31text"/>
      </w:pPr>
      <w:r w:rsidRPr="007D01FF">
        <w:t xml:space="preserve">Clinical evaluation of the therapeutic target is frequently reduced to the isolated presence of the </w:t>
      </w:r>
      <w:r w:rsidRPr="001A6E76">
        <w:rPr>
          <w:i/>
          <w:iCs/>
        </w:rPr>
        <w:t>CD19</w:t>
      </w:r>
      <w:r w:rsidRPr="007D01FF">
        <w:t xml:space="preserve"> gene. However, our data reveal that high </w:t>
      </w:r>
      <w:r w:rsidRPr="001A6E76">
        <w:rPr>
          <w:i/>
          <w:iCs/>
        </w:rPr>
        <w:t>CD19</w:t>
      </w:r>
      <w:r w:rsidRPr="007D01FF">
        <w:t xml:space="preserve"> expression alone does not guarantee </w:t>
      </w:r>
      <w:proofErr w:type="spellStart"/>
      <w:r w:rsidR="00262E87">
        <w:t>a</w:t>
      </w:r>
      <w:r w:rsidRPr="007D01FF">
        <w:t>xi</w:t>
      </w:r>
      <w:proofErr w:type="spellEnd"/>
      <w:r w:rsidRPr="007D01FF">
        <w:t xml:space="preserve">-cel efficacy; rather, it is essential to evaluate the global phenotypic integrity of the B-cell lineage. Within the </w:t>
      </w:r>
      <w:proofErr w:type="spellStart"/>
      <w:r w:rsidR="00262E87">
        <w:t>a</w:t>
      </w:r>
      <w:r w:rsidRPr="007D01FF">
        <w:t>xi</w:t>
      </w:r>
      <w:proofErr w:type="spellEnd"/>
      <w:r w:rsidRPr="007D01FF">
        <w:t>-cel cohort of the ZUMA-7 study, patients who achieved a sustained clinical response exhibited a consistent trend toward higher baseline expression across the entire panel of B-cell lineage markers (</w:t>
      </w:r>
      <w:r w:rsidRPr="001A6E76">
        <w:rPr>
          <w:i/>
          <w:iCs/>
        </w:rPr>
        <w:t>CD19</w:t>
      </w:r>
      <w:r w:rsidRPr="007D01FF">
        <w:t xml:space="preserve">, </w:t>
      </w:r>
      <w:r w:rsidRPr="001A6E76">
        <w:rPr>
          <w:i/>
          <w:iCs/>
        </w:rPr>
        <w:t>MS4A1</w:t>
      </w:r>
      <w:r w:rsidRPr="007D01FF">
        <w:t>/</w:t>
      </w:r>
      <w:r w:rsidRPr="001A6E76">
        <w:rPr>
          <w:i/>
          <w:iCs/>
        </w:rPr>
        <w:t>CD20</w:t>
      </w:r>
      <w:r w:rsidRPr="007D01FF">
        <w:t xml:space="preserve">, </w:t>
      </w:r>
      <w:r w:rsidRPr="001A6E76">
        <w:rPr>
          <w:i/>
          <w:iCs/>
        </w:rPr>
        <w:t>TNFRSF17</w:t>
      </w:r>
      <w:r w:rsidRPr="007D01FF">
        <w:t>) compared to those who experienced therapeutic failure (Figure 1</w:t>
      </w:r>
      <w:r w:rsidR="002C535A">
        <w:t>A</w:t>
      </w:r>
      <w:r w:rsidRPr="007D01FF">
        <w:t xml:space="preserve">). This profile indicates that CAR T-cell sensitivity relies on the preservation of the broader B-cell transcriptional program within the tumor, rather than merely the isolated abundance of </w:t>
      </w:r>
      <w:r w:rsidRPr="001A6E76">
        <w:rPr>
          <w:i/>
          <w:iCs/>
        </w:rPr>
        <w:t>CD19</w:t>
      </w:r>
      <w:r w:rsidRPr="007D01FF">
        <w:t>.</w:t>
      </w:r>
    </w:p>
    <w:p w14:paraId="390CA53A" w14:textId="77777777" w:rsidR="007D01FF" w:rsidRDefault="007D01FF" w:rsidP="007D01FF">
      <w:pPr>
        <w:pStyle w:val="MDPI31text"/>
        <w:ind w:left="0" w:firstLine="0"/>
      </w:pPr>
    </w:p>
    <w:p w14:paraId="5E8DCC08" w14:textId="0D282FCE" w:rsidR="007D01FF" w:rsidRDefault="00F327B5" w:rsidP="007D01FF">
      <w:pPr>
        <w:pStyle w:val="MDPI31text"/>
        <w:ind w:left="0" w:firstLine="0"/>
      </w:pPr>
      <w:r>
        <w:rPr>
          <w:noProof/>
          <w:snapToGrid/>
        </w:rPr>
        <w:lastRenderedPageBreak/>
        <w:drawing>
          <wp:inline distT="0" distB="0" distL="0" distR="0" wp14:anchorId="59BEB5A5" wp14:editId="1073DB74">
            <wp:extent cx="6645910" cy="6974840"/>
            <wp:effectExtent l="0" t="0" r="2540" b="0"/>
            <wp:docPr id="21656851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68510" name="Imagem 216568510"/>
                    <pic:cNvPicPr/>
                  </pic:nvPicPr>
                  <pic:blipFill>
                    <a:blip r:embed="rId9"/>
                    <a:stretch>
                      <a:fillRect/>
                    </a:stretch>
                  </pic:blipFill>
                  <pic:spPr>
                    <a:xfrm>
                      <a:off x="0" y="0"/>
                      <a:ext cx="6645910" cy="6974840"/>
                    </a:xfrm>
                    <a:prstGeom prst="rect">
                      <a:avLst/>
                    </a:prstGeom>
                  </pic:spPr>
                </pic:pic>
              </a:graphicData>
            </a:graphic>
          </wp:inline>
        </w:drawing>
      </w:r>
    </w:p>
    <w:p w14:paraId="16A66DFE" w14:textId="6EC6FBE7" w:rsidR="007D01FF" w:rsidRDefault="007D01FF" w:rsidP="007D01FF">
      <w:pPr>
        <w:pStyle w:val="MDPI51figurecaption"/>
      </w:pPr>
      <w:r w:rsidRPr="007D01FF">
        <w:rPr>
          <w:b/>
        </w:rPr>
        <w:t xml:space="preserve">Figure 1. </w:t>
      </w:r>
      <w:r w:rsidRPr="00F02E84">
        <w:rPr>
          <w:bCs/>
        </w:rPr>
        <w:t xml:space="preserve">Baseline availability and longitudinal assessment of canonical B-cell lineage markers demonstrate the efficacy of </w:t>
      </w:r>
      <w:proofErr w:type="spellStart"/>
      <w:r w:rsidR="00262E87">
        <w:rPr>
          <w:bCs/>
        </w:rPr>
        <w:t>a</w:t>
      </w:r>
      <w:r w:rsidRPr="00F02E84">
        <w:rPr>
          <w:bCs/>
        </w:rPr>
        <w:t>xi</w:t>
      </w:r>
      <w:proofErr w:type="spellEnd"/>
      <w:r w:rsidRPr="00F02E84">
        <w:rPr>
          <w:bCs/>
        </w:rPr>
        <w:t>-cel.</w:t>
      </w:r>
      <w:r w:rsidRPr="006F77DA">
        <w:rPr>
          <w:b/>
        </w:rPr>
        <w:t xml:space="preserve"> </w:t>
      </w:r>
      <w:r w:rsidRPr="006F77DA">
        <w:t>(</w:t>
      </w:r>
      <w:r w:rsidR="002C535A">
        <w:t>A</w:t>
      </w:r>
      <w:r w:rsidRPr="006F77DA">
        <w:t xml:space="preserve">) </w:t>
      </w:r>
      <w:r w:rsidRPr="007D01FF">
        <w:t>Pre-infusion (baseline) mRNA expression levels (Log2) of canonical B-cell lineage markers (</w:t>
      </w:r>
      <w:r w:rsidRPr="001A6E76">
        <w:rPr>
          <w:i/>
          <w:iCs/>
        </w:rPr>
        <w:t>CD19</w:t>
      </w:r>
      <w:r w:rsidRPr="007D01FF">
        <w:t xml:space="preserve">, </w:t>
      </w:r>
      <w:r w:rsidRPr="001A6E76">
        <w:rPr>
          <w:i/>
          <w:iCs/>
        </w:rPr>
        <w:t>MS4A1</w:t>
      </w:r>
      <w:r w:rsidRPr="007D01FF">
        <w:t>/</w:t>
      </w:r>
      <w:r w:rsidRPr="001A6E76">
        <w:rPr>
          <w:i/>
          <w:iCs/>
        </w:rPr>
        <w:t>CD20</w:t>
      </w:r>
      <w:r w:rsidRPr="007D01FF">
        <w:t xml:space="preserve">, and </w:t>
      </w:r>
      <w:r w:rsidRPr="001A6E76">
        <w:rPr>
          <w:i/>
          <w:iCs/>
        </w:rPr>
        <w:t>TNFRSF17</w:t>
      </w:r>
      <w:r w:rsidRPr="007D01FF">
        <w:t>), corresponding to the panel established in the pivotal ZUMA-7 study</w:t>
      </w:r>
      <w:r>
        <w:t xml:space="preserve"> </w:t>
      </w:r>
      <w:r>
        <w:fldChar w:fldCharType="begin"/>
      </w:r>
      <w:r>
        <w:instrText xml:space="preserve"> ADDIN ZOTERO_ITEM CSL_CITATION {"citationID":"Nmyj88Tk","properties":{"unsorted":false,"formattedCitation":"[33]","plainCitation":"[33]","noteIndex":0},"citationItems":[{"id":614,"uris":["http://zotero.org/users/17472926/items/2CSNINWF"],"itemData":{"id":614,"type":"article-journal","abstract":"The phase 3 ZUMA-7 trial in second-line large B cell lymphoma demonstrated superiority of anti-CD19 CAR T cell therapy (axicabtagene ciloleucel (axi-cel)) over standard of care (SOC; salvage chemotherapy followed by hematopoietic transplantation) (NCT03391466). Here, we present a prespecified exploratory analysis examining the association between pretreatment tumor characteristics and the efficacy of axi-cel versus SOC. B cell gene expression signature (GES) and CD19 expression associated significantly with improved event-free survival for axi-cel (P = 0.0002 for B cell GES; P = 0.0165 for CD19 expression) but not SOC (P = 0.9374 for B cell GES; P = 0.5526 for CD19 expression). Axi-cel showed superior event-free survival over SOC irrespective of B cell GES and CD19 expression (P = 8.56 × 10–9 for B cell GES high; P = 0.0019 for B cell GES low; P = 3.85 × 10–9 for CD19 gene high; P = 0.0017 for CD19 gene low). Low CD19 expression in malignant cells correlated with a tumor GES consisting of immune-suppressive stromal and myeloid genes, highlighting the inter-relation between malignant cell features and immune contexture substantially impacting axi-cel outcomes. Tumor burden, lactate dehydrogenase and cell-of-origin impacted SOC more than axi-cel outcomes. T cell activation and B cell GES, which are associated with improved axi-cel outcome, decreased with increasing lines of therapy. These data highlight differences in resistance mechanisms to axi-cel and SOC and support earlier intervention with axi-cel.","container-title":"Nature Medicine","DOI":"10.1038/s41591-023-02754-1","ISSN":"1546-170X","issue":"2","journalAbbreviation":"Nat Med","language":"en","license":"2024 The Author(s)","page":"507-518","publisher":"Nature Publishing Group","source":"www.nature.com","title":"Impact of tumor microenvironment on efficacy of anti-CD19 CAR T cell therapy or chemotherapy and transplant in large B cell lymphoma","volume":"30","author":[{"family":"Locke","given":"Frederick L."},{"family":"Filosto","given":"Simone"},{"family":"Chou","given":"Justin"},{"family":"Vardhanabhuti","given":"Saran"},{"family":"Perbost","given":"Regis"},{"family":"Dreger","given":"Peter"},{"family":"Hill","given":"Brian T."},{"family":"Lee","given":"Catherine"},{"family":"Zinzani","given":"Pier L."},{"family":"Kröger","given":"Nicolaus"},{"family":"López-Guillermo","given":"Armando"},{"family":"Greinix","given":"Hildegard"},{"family":"Zhang","given":"Wangshu"},{"family":"Tiwari","given":"Gayatri"},{"family":"Budka","given":"Justin"},{"family":"Marincola","given":"Francesco M."},{"family":"To","given":"Christina"},{"family":"Mattie","given":"Mike"},{"family":"Schupp","given":"Marco"},{"family":"Cheng","given":"Paul"},{"family":"Bot","given":"Adrian"},{"family":"Shen","given":"Rhine"},{"family":"Bedognetti","given":"Davide"},{"family":"Miao","given":"Harry"},{"family":"Galon","given":"Jérôme"}],"issued":{"date-parts":[["2024",2]]}}}],"schema":"https://github.com/citation-style-language/schema/raw/master/csl-citation.json"} </w:instrText>
      </w:r>
      <w:r>
        <w:fldChar w:fldCharType="separate"/>
      </w:r>
      <w:r w:rsidRPr="007D01FF">
        <w:t>[33]</w:t>
      </w:r>
      <w:r>
        <w:fldChar w:fldCharType="end"/>
      </w:r>
      <w:r>
        <w:t xml:space="preserve">, </w:t>
      </w:r>
      <w:r w:rsidRPr="007D01FF">
        <w:t xml:space="preserve">assessed in the </w:t>
      </w:r>
      <w:proofErr w:type="spellStart"/>
      <w:r w:rsidR="00262E87">
        <w:t>a</w:t>
      </w:r>
      <w:r w:rsidRPr="007D01FF">
        <w:t>xi</w:t>
      </w:r>
      <w:proofErr w:type="spellEnd"/>
      <w:r w:rsidRPr="007D01FF">
        <w:t xml:space="preserve">-cel-treated cohort. Patients are stratified by durable clinical </w:t>
      </w:r>
      <w:proofErr w:type="gramStart"/>
      <w:r w:rsidRPr="007D01FF">
        <w:t>outcome</w:t>
      </w:r>
      <w:proofErr w:type="gramEnd"/>
      <w:r w:rsidRPr="007D01FF">
        <w:t xml:space="preserve"> (sustained response versus failure).</w:t>
      </w:r>
      <w:r>
        <w:t xml:space="preserve"> </w:t>
      </w:r>
      <w:r w:rsidRPr="007D01FF">
        <w:t>(</w:t>
      </w:r>
      <w:r w:rsidR="002C535A">
        <w:t>B</w:t>
      </w:r>
      <w:r w:rsidRPr="007D01FF">
        <w:t>)</w:t>
      </w:r>
      <w:r>
        <w:t xml:space="preserve"> </w:t>
      </w:r>
      <w:r w:rsidRPr="007D01FF">
        <w:t>Baseline expression of the same pivotal gene panel from the ZUMA-7 study in the standard-of-care (SOC) control arm.</w:t>
      </w:r>
      <w:r>
        <w:t xml:space="preserve"> </w:t>
      </w:r>
      <w:r w:rsidRPr="007D01FF">
        <w:t>(</w:t>
      </w:r>
      <w:r w:rsidR="002C535A">
        <w:t>C</w:t>
      </w:r>
      <w:r w:rsidRPr="007D01FF">
        <w:t>)</w:t>
      </w:r>
      <w:r>
        <w:t xml:space="preserve"> </w:t>
      </w:r>
      <w:r w:rsidRPr="007D01FF">
        <w:t>Baseline expression of B-cell-specific markers (</w:t>
      </w:r>
      <w:r w:rsidRPr="001A6E76">
        <w:rPr>
          <w:i/>
          <w:iCs/>
        </w:rPr>
        <w:t>CD19</w:t>
      </w:r>
      <w:r w:rsidRPr="007D01FF">
        <w:t xml:space="preserve">, </w:t>
      </w:r>
      <w:r w:rsidRPr="001A6E76">
        <w:rPr>
          <w:i/>
          <w:iCs/>
        </w:rPr>
        <w:t>MS4A1</w:t>
      </w:r>
      <w:r w:rsidRPr="007D01FF">
        <w:t xml:space="preserve">, </w:t>
      </w:r>
      <w:r w:rsidRPr="001A6E76">
        <w:rPr>
          <w:i/>
          <w:iCs/>
        </w:rPr>
        <w:t>CD79A</w:t>
      </w:r>
      <w:r w:rsidRPr="007D01FF">
        <w:t xml:space="preserve">, </w:t>
      </w:r>
      <w:r w:rsidRPr="001A6E76">
        <w:rPr>
          <w:i/>
          <w:iCs/>
        </w:rPr>
        <w:t>CD79B</w:t>
      </w:r>
      <w:r w:rsidRPr="007D01FF">
        <w:t>) defined in the pivotal ZUMA-1 study</w:t>
      </w:r>
      <w:r>
        <w:t xml:space="preserve"> </w:t>
      </w:r>
      <w:r>
        <w:fldChar w:fldCharType="begin"/>
      </w:r>
      <w:r>
        <w:instrText xml:space="preserve"> ADDIN ZOTERO_ITEM CSL_CITATION {"citationID":"X8OKtCv9","properties":{"unsorted":false,"formattedCitation":"[34]","plainCitation":"[34]","noteIndex":0},"citationItems":[{"id":629,"uris":["http://zotero.org/users/17472926/items/DVKAYPP4"],"itemData":{"id":629,"type":"article-journal","abstract":"Axicabtagene ciloleucel (axi-cel) is an anti-CD19 chimeric antigen receptor (CAR) T cell therapy approved for relapsed/refractory large B cell lymphoma (LBCL) and has treatment with similar efficacy across conventional LBCL subtypes. Toward patient stratification, we assessed whether tumor immune contexture influenced clinical outcomes after axi-cel. We evaluated the tumor microenvironment (TME) of 135 pre-treatment and post-treatment tumor biopsies taken from 51 patients in the ZUMA-1 phase 2 trial. We uncovered dynamic patterns that occurred within 2 weeks after axi-cel. The biological associations among Immunoscore (quantification of tumor-infiltrating T cell density), Immunosign 21 (expression of pre-defined immune gene panel) and cell subsets were validated in three independent LBCL datasets. In the ZUMA-1 trial samples, clinical response and overall survival were associated with pre-treatment immune contexture as characterized by Immunoscore and Immunosign 21. Circulating CAR T cell levels were associated with post-treatment TME T cell exhaustion. TME enriched for chemokines (CCL5 and CCL22), γ-chain receptor cytokines (IL-15, IL-7 and IL-21) and interferon-regulated molecules were associated with T cell infiltration and markers of activity. Finally, high density of regulatory T cells in pre-treatment TME associated with reduced axi-cel–related neurologic toxicity. These findings advance the understanding of LBCL TME characteristics associated with clinical responses to anti-CD19 CAR T cell therapy and could foster biomarker development and treatment optimization for patients with LBCL.","container-title":"Nature Medicine","DOI":"10.1038/s41591-022-01916-x","ISSN":"1546-170X","issue":"9","journalAbbreviation":"Nat Med","language":"en","license":"2022 The Author(s)","page":"1872-1882","publisher":"Nature Publishing Group","source":"www.nature.com","title":"Tumor immune contexture is a determinant of anti-CD19 CAR T cell efficacy in large B cell lymphoma","volume":"28","author":[{"family":"Scholler","given":"Nathalie"},{"family":"Perbost","given":"Regis"},{"family":"Locke","given":"Frederick L."},{"family":"Jain","given":"Michael D."},{"family":"Turcan","given":"Sarah"},{"family":"Danan","given":"Corinne"},{"family":"Chang","given":"Edmund C."},{"family":"Neelapu","given":"Sattva S."},{"family":"Miklos","given":"David B."},{"family":"Jacobson","given":"Caron A."},{"family":"Lekakis","given":"Lazaros J."},{"family":"Lin","given":"Yi"},{"family":"Ghobadi","given":"Armin"},{"family":"Kim","given":"Jenny J."},{"family":"Chou","given":"Justin"},{"family":"Plaks","given":"Vicki"},{"family":"Wang","given":"Zixing"},{"family":"Xue","given":"Allen"},{"family":"Mattie","given":"Mike"},{"family":"Rossi","given":"John M."},{"family":"Bot","given":"Adrian"},{"family":"Galon","given":"Jérôme"}],"issued":{"date-parts":[["2022",9]]}}}],"schema":"https://github.com/citation-style-language/schema/raw/master/csl-citation.json"} </w:instrText>
      </w:r>
      <w:r>
        <w:fldChar w:fldCharType="separate"/>
      </w:r>
      <w:r w:rsidRPr="007D01FF">
        <w:t>[34]</w:t>
      </w:r>
      <w:r>
        <w:fldChar w:fldCharType="end"/>
      </w:r>
      <w:r>
        <w:t>, a</w:t>
      </w:r>
      <w:r w:rsidRPr="007D01FF">
        <w:t>ssessed in the ZUMA-1 cohort and stratified by clinical response (CR versus Non-CR).</w:t>
      </w:r>
      <w:r>
        <w:t xml:space="preserve"> </w:t>
      </w:r>
      <w:r w:rsidRPr="007D01FF">
        <w:t>(</w:t>
      </w:r>
      <w:r>
        <w:t>d</w:t>
      </w:r>
      <w:r w:rsidRPr="007D01FF">
        <w:t>)</w:t>
      </w:r>
      <w:r>
        <w:t xml:space="preserve"> </w:t>
      </w:r>
      <w:r w:rsidRPr="007D01FF">
        <w:t>Paired longitudinal analysis comparing target gene expression between baseline (pre-infusion) and post-CAR-T biopsies in patients from the ZUMA-1 study. Comparisons were performed using the Wilcoxon rank-sum test</w:t>
      </w:r>
      <w:r>
        <w:t xml:space="preserve"> </w:t>
      </w:r>
      <w:r w:rsidRPr="007D01FF">
        <w:t>(</w:t>
      </w:r>
      <w:r w:rsidR="002C535A">
        <w:t>A</w:t>
      </w:r>
      <w:r>
        <w:t>-</w:t>
      </w:r>
      <w:r w:rsidR="002C535A">
        <w:t>C</w:t>
      </w:r>
      <w:r w:rsidRPr="007D01FF">
        <w:t>)</w:t>
      </w:r>
      <w:r>
        <w:t xml:space="preserve"> </w:t>
      </w:r>
      <w:r w:rsidRPr="007D01FF">
        <w:t>and the Wilcoxon signed-rank test</w:t>
      </w:r>
      <w:r>
        <w:t xml:space="preserve"> </w:t>
      </w:r>
      <w:r w:rsidRPr="007D01FF">
        <w:t>(</w:t>
      </w:r>
      <w:r w:rsidR="002C535A">
        <w:t>D</w:t>
      </w:r>
      <w:r w:rsidRPr="007D01FF">
        <w:t>)</w:t>
      </w:r>
      <w:r>
        <w:t xml:space="preserve">, </w:t>
      </w:r>
      <w:r w:rsidRPr="007D01FF">
        <w:t xml:space="preserve">with the </w:t>
      </w:r>
      <w:r w:rsidRPr="007D01FF">
        <w:lastRenderedPageBreak/>
        <w:t>Benjamini-Hochberg False Discovery Rate (FDR) correction applied specifically to the pivotal gene panels evaluated. Boxplots overlaid on violin plots indicate the median and interquartile range. Overlaid scatter points are color-coded according to granular clinical classifications.</w:t>
      </w:r>
    </w:p>
    <w:p w14:paraId="0C8F9EC0" w14:textId="57A5902B" w:rsidR="007D01FF" w:rsidRDefault="007D01FF" w:rsidP="000852E9">
      <w:pPr>
        <w:pStyle w:val="MDPI31text"/>
      </w:pPr>
      <w:r w:rsidRPr="007D01FF">
        <w:t>This association was mechanistically specific to cellular therapy; no significant discrepancies in B-cell lineage markers were observed within the standard-of-care (SOC) chemotherapy arm of the ZUMA-7 study (Figure 1</w:t>
      </w:r>
      <w:r w:rsidR="00F327B5">
        <w:t>b</w:t>
      </w:r>
      <w:r w:rsidRPr="007D01FF">
        <w:t>) or at baseline in the ZUMA-1 cohort (Figure 1</w:t>
      </w:r>
      <w:r w:rsidR="002C535A">
        <w:t>C</w:t>
      </w:r>
      <w:r w:rsidRPr="007D01FF">
        <w:t>). Finally, paired longitudinal analysis in ZUMA-1 confirmed the on-target pharmacodynamic impact of the CAR T-cell therapy, revealing a profound and statistically significant depletion of all B-cell markers following infusion (Figure 1</w:t>
      </w:r>
      <w:r w:rsidR="002C535A">
        <w:t>D</w:t>
      </w:r>
      <w:r w:rsidRPr="007D01FF">
        <w:t xml:space="preserve">). This transcriptional eradication was further validated by cellular deconvolution of the tumor microenvironment (Supplementary Figure S1), confirming the clearance of the malignant clone and the anticipated B-cell aplasia. Taken together, these findings demonstrate that baseline B-cell lineage identity may serve as a crucial prerequisite for the optimal engagement and therapeutic success of </w:t>
      </w:r>
      <w:proofErr w:type="spellStart"/>
      <w:r w:rsidR="00262E87">
        <w:t>a</w:t>
      </w:r>
      <w:r w:rsidRPr="007D01FF">
        <w:t>xi</w:t>
      </w:r>
      <w:proofErr w:type="spellEnd"/>
      <w:r w:rsidRPr="007D01FF">
        <w:t>-cel.</w:t>
      </w:r>
    </w:p>
    <w:p w14:paraId="66831430" w14:textId="77777777" w:rsidR="007D01FF" w:rsidRDefault="007D01FF" w:rsidP="000852E9">
      <w:pPr>
        <w:pStyle w:val="MDPI31text"/>
      </w:pPr>
    </w:p>
    <w:p w14:paraId="0613709E" w14:textId="5A13BC8D" w:rsidR="00F327B5" w:rsidRPr="006F77DA" w:rsidRDefault="00F327B5" w:rsidP="00F327B5">
      <w:pPr>
        <w:pStyle w:val="MDPI22heading2"/>
        <w:spacing w:before="240"/>
        <w:rPr>
          <w:noProof w:val="0"/>
        </w:rPr>
      </w:pPr>
      <w:r w:rsidRPr="00F327B5">
        <w:rPr>
          <w:noProof w:val="0"/>
        </w:rPr>
        <w:t xml:space="preserve">3.2 T-Cell Exhaustion and HLA Downregulation Are Not the Primary Determinants of </w:t>
      </w:r>
      <w:proofErr w:type="spellStart"/>
      <w:r w:rsidR="00262E87">
        <w:rPr>
          <w:noProof w:val="0"/>
        </w:rPr>
        <w:t>a</w:t>
      </w:r>
      <w:r w:rsidRPr="00F327B5">
        <w:rPr>
          <w:noProof w:val="0"/>
        </w:rPr>
        <w:t>xi</w:t>
      </w:r>
      <w:proofErr w:type="spellEnd"/>
      <w:r w:rsidRPr="00F327B5">
        <w:rPr>
          <w:noProof w:val="0"/>
        </w:rPr>
        <w:t>-cel Resistance</w:t>
      </w:r>
    </w:p>
    <w:p w14:paraId="4880357F" w14:textId="4F54666A" w:rsidR="007D01FF" w:rsidRDefault="00F327B5" w:rsidP="000852E9">
      <w:pPr>
        <w:pStyle w:val="MDPI31text"/>
      </w:pPr>
      <w:r w:rsidRPr="00F327B5">
        <w:t xml:space="preserve">In classical tumor immunology, immune evasion is frequently orchestrated by the induction of T-cell exhaustion within the microenvironment or by the suppression of the human leukocyte antigen (HLA) presentation machinery. However, our multidimensional transcriptomic mapping revealed that these canonical axes do not primarily dictate therapeutic failure to </w:t>
      </w:r>
      <w:proofErr w:type="spellStart"/>
      <w:r w:rsidR="00262E87">
        <w:t>a</w:t>
      </w:r>
      <w:r w:rsidRPr="00F327B5">
        <w:t>xi</w:t>
      </w:r>
      <w:proofErr w:type="spellEnd"/>
      <w:r w:rsidRPr="00F327B5">
        <w:t>-cel. Expression profiling of T-cell exhaustion signatures (Figure 2) failed to reveal the formation of biological clusters capable of segregating patients with sustained responses from those experiencing therapeutic failure. This lack of phenotypic modulation demonstrated no statistically significant discrepancies in these immune inhibitors based on clinical outcomes (Supplementary Table S1; all FDR &gt; 0.05). This non-discriminatory pattern remained consistent across the baseline cohorts of both the ZUMA-7 and ZUMA-1 studies. Furthermore, the temporal assessment of these signatures (post-CAR T-cell infusion) in the ZUMA-1 cohort did not evidence consistent longitudinal fluctuations that could account for immune escape</w:t>
      </w:r>
      <w:r>
        <w:t>.</w:t>
      </w:r>
    </w:p>
    <w:p w14:paraId="7CE0ECC9" w14:textId="77777777" w:rsidR="007D01FF" w:rsidRDefault="007D01FF" w:rsidP="000852E9">
      <w:pPr>
        <w:pStyle w:val="MDPI31text"/>
      </w:pPr>
    </w:p>
    <w:p w14:paraId="57018050" w14:textId="2AD1E741" w:rsidR="00F327B5" w:rsidRDefault="00F327B5" w:rsidP="00F327B5">
      <w:pPr>
        <w:pStyle w:val="MDPI31text"/>
        <w:ind w:left="0" w:firstLine="0"/>
      </w:pPr>
      <w:r>
        <w:rPr>
          <w:noProof/>
          <w:snapToGrid/>
        </w:rPr>
        <w:lastRenderedPageBreak/>
        <w:drawing>
          <wp:inline distT="0" distB="0" distL="0" distR="0" wp14:anchorId="51A18599" wp14:editId="3F8FD0E6">
            <wp:extent cx="6645910" cy="7705090"/>
            <wp:effectExtent l="0" t="0" r="2540" b="0"/>
            <wp:docPr id="26899618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96187" name="Imagem 268996187"/>
                    <pic:cNvPicPr/>
                  </pic:nvPicPr>
                  <pic:blipFill>
                    <a:blip r:embed="rId10"/>
                    <a:stretch>
                      <a:fillRect/>
                    </a:stretch>
                  </pic:blipFill>
                  <pic:spPr>
                    <a:xfrm>
                      <a:off x="0" y="0"/>
                      <a:ext cx="6645910" cy="7705090"/>
                    </a:xfrm>
                    <a:prstGeom prst="rect">
                      <a:avLst/>
                    </a:prstGeom>
                  </pic:spPr>
                </pic:pic>
              </a:graphicData>
            </a:graphic>
          </wp:inline>
        </w:drawing>
      </w:r>
    </w:p>
    <w:p w14:paraId="1CDC8DBE" w14:textId="77777777" w:rsidR="00F327B5" w:rsidRDefault="00F327B5" w:rsidP="000852E9">
      <w:pPr>
        <w:pStyle w:val="MDPI31text"/>
      </w:pPr>
    </w:p>
    <w:p w14:paraId="685313AD" w14:textId="323A2CC2" w:rsidR="00F327B5" w:rsidRPr="006F77DA" w:rsidRDefault="00F327B5" w:rsidP="00F327B5">
      <w:pPr>
        <w:pStyle w:val="MDPI51figurecaption"/>
      </w:pPr>
      <w:r w:rsidRPr="006F77DA">
        <w:rPr>
          <w:b/>
        </w:rPr>
        <w:t>Figure 2</w:t>
      </w:r>
      <w:r w:rsidR="00F02E84">
        <w:rPr>
          <w:b/>
        </w:rPr>
        <w:t>.</w:t>
      </w:r>
      <w:r>
        <w:rPr>
          <w:b/>
        </w:rPr>
        <w:t xml:space="preserve"> </w:t>
      </w:r>
      <w:r w:rsidRPr="00F02E84">
        <w:rPr>
          <w:bCs/>
        </w:rPr>
        <w:t xml:space="preserve">Transcriptional profile of immune evasion mechanisms: T-cell exhaustion in the microenvironment and regulation of the antigen presentation machinery (HLA). </w:t>
      </w:r>
      <w:r w:rsidRPr="00F327B5">
        <w:t xml:space="preserve">Normalized gene expression profiles (Z-score) mapping the immunosuppressive architecture in the ZUMA-7 and ZUMA-1 cohorts. The first four heatmaps show the expression of T-cell exhaustion genes. The baseline profile is stratified by clinical outcome (Sustained Response vs. Failure/CR vs. Non-CR) in the ZUMA-7 </w:t>
      </w:r>
      <w:proofErr w:type="spellStart"/>
      <w:r w:rsidR="00262E87">
        <w:t>a</w:t>
      </w:r>
      <w:r w:rsidRPr="00F327B5">
        <w:t>xi</w:t>
      </w:r>
      <w:proofErr w:type="spellEnd"/>
      <w:r w:rsidRPr="00F327B5">
        <w:t xml:space="preserve">-cel, ZUMA-7 Standard of Care (SOC), and ZUMA-1 (Baseline) cohorts, whereas the ZUMA-1 </w:t>
      </w:r>
      <w:r w:rsidRPr="00F327B5">
        <w:lastRenderedPageBreak/>
        <w:t xml:space="preserve">(Time point) section presents longitudinal changes in these immunosuppressive markers from the pre-infusion assessment (Baseline) to one week after CAR-T infusion (Post-CAR-T). The other four heatmaps relate to the HLA machinery: an assessment of the functional integrity of antigen presentation, biologically subdivided into four axes: classical Class I molecules, the intracellular processing complex, classical Class II molecules, and non-classical inhibitory Class I molecules. Samples (columns) are hierarchically clustered within each clinical response stratum. Top annotations provide individualized clinical context for each patient: Overall Response, detailed Clinical Classification, Molecular Subgroup/Cell of Origin, Tumor Burden (mapped on a continuous logarithmic grayscale), and occurrence of EFS events. Expression divergence is mapped on a Z-score scale, where intense blue represents </w:t>
      </w:r>
      <w:proofErr w:type="spellStart"/>
      <w:r w:rsidRPr="00F327B5">
        <w:t>underexpression</w:t>
      </w:r>
      <w:proofErr w:type="spellEnd"/>
      <w:r w:rsidRPr="00F327B5">
        <w:t xml:space="preserve"> (-2) and dark red represents overexpression (+2) relative to the cohort mean</w:t>
      </w:r>
      <w:r w:rsidRPr="006F77DA">
        <w:t>.</w:t>
      </w:r>
    </w:p>
    <w:p w14:paraId="262BF4FE" w14:textId="55027B25" w:rsidR="00F327B5" w:rsidRDefault="00F327B5" w:rsidP="000852E9">
      <w:pPr>
        <w:pStyle w:val="MDPI31text"/>
      </w:pPr>
      <w:r w:rsidRPr="00F327B5">
        <w:t>Similarly, the functional and structural assessment of the HLA complex integrity demonstrated intra-cohort heterogeneity. Unsupervised hierarchical clustering, even when integrated with strongly weighted clinical covariates such as baseline tumor burden (SPD) and cell of origin (COO), confirmed the absence of an HLA downregulation profile univocally or predominantly associated with CAR-T resistance. This observation was further supported by continuous statistical analysis, which confirmed the lack of significant transcriptional downregulation across the intracellular processing complex, as well as the classical and non-classical presentation molecules (Supplementary Table S1)</w:t>
      </w:r>
      <w:r>
        <w:t>.</w:t>
      </w:r>
    </w:p>
    <w:p w14:paraId="035D3B6B" w14:textId="0AF0EE37" w:rsidR="00F327B5" w:rsidRDefault="00F327B5" w:rsidP="000852E9">
      <w:pPr>
        <w:pStyle w:val="MDPI31text"/>
      </w:pPr>
      <w:r w:rsidRPr="00F327B5">
        <w:t>Our findings suggest that, due to the synthetic nature of its antigen recognition, anti-CD19 CAR T-cell efficacy operates with remarkable independence from traditional HLA restriction pathways and the degree of pre-existing immune exhaustion, highlighting the critical need to investigate alternative mechanisms of intrinsic tumor resistance.</w:t>
      </w:r>
    </w:p>
    <w:p w14:paraId="3822FFFE" w14:textId="77777777" w:rsidR="00F327B5" w:rsidRDefault="00F327B5" w:rsidP="000852E9">
      <w:pPr>
        <w:pStyle w:val="MDPI31text"/>
      </w:pPr>
    </w:p>
    <w:p w14:paraId="488C09C3" w14:textId="757163BA" w:rsidR="00F327B5" w:rsidRPr="006F77DA" w:rsidRDefault="00F327B5" w:rsidP="00F327B5">
      <w:pPr>
        <w:pStyle w:val="MDPI22heading2"/>
        <w:spacing w:before="240"/>
        <w:rPr>
          <w:noProof w:val="0"/>
        </w:rPr>
      </w:pPr>
      <w:r w:rsidRPr="00F327B5">
        <w:rPr>
          <w:noProof w:val="0"/>
        </w:rPr>
        <w:t>3.3 Global Transcriptomic Mapping Reveals Divergent Pathways of Resistance to CAR T-Cell Therapy</w:t>
      </w:r>
    </w:p>
    <w:p w14:paraId="4FF533D6" w14:textId="5B6F958D" w:rsidR="00F327B5" w:rsidRDefault="00F327B5" w:rsidP="000852E9">
      <w:pPr>
        <w:pStyle w:val="MDPI31text"/>
      </w:pPr>
      <w:r w:rsidRPr="00F327B5">
        <w:t>To decode resistance mechanisms beyond classical immune escape, we conducted a differential gene expression analysis (volcano plots, Figure 3</w:t>
      </w:r>
      <w:r w:rsidR="001A6E76">
        <w:t>A</w:t>
      </w:r>
      <w:r w:rsidRPr="00F327B5">
        <w:t>) integrated with pathway enrichment analysis (GSEA/</w:t>
      </w:r>
      <w:proofErr w:type="spellStart"/>
      <w:r w:rsidRPr="00F327B5">
        <w:t>ssGSEA</w:t>
      </w:r>
      <w:proofErr w:type="spellEnd"/>
      <w:r w:rsidRPr="00F327B5">
        <w:t>). The biological architecture of therapeutic failure revealed divergent profiles depending on the treatment line evaluated.</w:t>
      </w:r>
    </w:p>
    <w:p w14:paraId="022ED739" w14:textId="77777777" w:rsidR="00F327B5" w:rsidRDefault="00F327B5" w:rsidP="00F327B5">
      <w:pPr>
        <w:pStyle w:val="MDPI31text"/>
        <w:ind w:left="0" w:firstLine="0"/>
      </w:pPr>
    </w:p>
    <w:p w14:paraId="6225C374" w14:textId="696CC9A6" w:rsidR="00F327B5" w:rsidRDefault="00F327B5" w:rsidP="00F327B5">
      <w:pPr>
        <w:pStyle w:val="MDPI31text"/>
        <w:ind w:left="0" w:firstLine="0"/>
      </w:pPr>
      <w:r>
        <w:rPr>
          <w:noProof/>
          <w:snapToGrid/>
        </w:rPr>
        <w:lastRenderedPageBreak/>
        <w:drawing>
          <wp:inline distT="0" distB="0" distL="0" distR="0" wp14:anchorId="0D80D03B" wp14:editId="49B80F09">
            <wp:extent cx="6645910" cy="8493125"/>
            <wp:effectExtent l="0" t="0" r="2540" b="3175"/>
            <wp:docPr id="20957527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5274" name="Imagem 209575274"/>
                    <pic:cNvPicPr/>
                  </pic:nvPicPr>
                  <pic:blipFill>
                    <a:blip r:embed="rId11"/>
                    <a:stretch>
                      <a:fillRect/>
                    </a:stretch>
                  </pic:blipFill>
                  <pic:spPr>
                    <a:xfrm>
                      <a:off x="0" y="0"/>
                      <a:ext cx="6645910" cy="8493125"/>
                    </a:xfrm>
                    <a:prstGeom prst="rect">
                      <a:avLst/>
                    </a:prstGeom>
                  </pic:spPr>
                </pic:pic>
              </a:graphicData>
            </a:graphic>
          </wp:inline>
        </w:drawing>
      </w:r>
    </w:p>
    <w:p w14:paraId="7470C2B5" w14:textId="4FA2B6F2" w:rsidR="00F327B5" w:rsidRPr="006F77DA" w:rsidRDefault="00F327B5" w:rsidP="00F327B5">
      <w:pPr>
        <w:pStyle w:val="MDPI51figurecaption"/>
      </w:pPr>
      <w:r w:rsidRPr="006F77DA">
        <w:rPr>
          <w:b/>
        </w:rPr>
        <w:t xml:space="preserve">Figure </w:t>
      </w:r>
      <w:r>
        <w:rPr>
          <w:b/>
        </w:rPr>
        <w:t>3</w:t>
      </w:r>
      <w:r w:rsidR="00F02E84">
        <w:rPr>
          <w:b/>
        </w:rPr>
        <w:t>.</w:t>
      </w:r>
      <w:r>
        <w:rPr>
          <w:b/>
        </w:rPr>
        <w:t xml:space="preserve"> </w:t>
      </w:r>
      <w:r w:rsidRPr="00F02E84">
        <w:rPr>
          <w:bCs/>
        </w:rPr>
        <w:t xml:space="preserve">Global gene expression and functional pathways associated with </w:t>
      </w:r>
      <w:proofErr w:type="spellStart"/>
      <w:r w:rsidR="00262E87">
        <w:rPr>
          <w:bCs/>
        </w:rPr>
        <w:t>a</w:t>
      </w:r>
      <w:r w:rsidRPr="00F02E84">
        <w:rPr>
          <w:bCs/>
        </w:rPr>
        <w:t>xi</w:t>
      </w:r>
      <w:proofErr w:type="spellEnd"/>
      <w:r w:rsidRPr="00F02E84">
        <w:rPr>
          <w:bCs/>
        </w:rPr>
        <w:t xml:space="preserve">-cel treatment failure. </w:t>
      </w:r>
      <w:r w:rsidRPr="006F77DA">
        <w:t>(</w:t>
      </w:r>
      <w:r w:rsidR="001A6E76">
        <w:t>A</w:t>
      </w:r>
      <w:r w:rsidRPr="006F77DA">
        <w:t>)</w:t>
      </w:r>
      <w:r>
        <w:t xml:space="preserve"> </w:t>
      </w:r>
      <w:r w:rsidRPr="00F327B5">
        <w:t xml:space="preserve">Volcano plots showing differential gene expression analysis (DEA) prior to infusion, comparing clinical response groups in the ZUMA-1 (left; Non-CR vs. CR) and ZUMA-7 (right; Failure vs. </w:t>
      </w:r>
      <w:r w:rsidRPr="00F327B5">
        <w:lastRenderedPageBreak/>
        <w:t xml:space="preserve">Sustained) cohorts. Significance is highlighted based on an exploratory threshold of unadjusted p-value &lt; 0.05 and absolute log2 fold change &gt; 0.5 (dashed lines). </w:t>
      </w:r>
      <w:r w:rsidRPr="006F77DA">
        <w:t>(</w:t>
      </w:r>
      <w:r w:rsidR="001A6E76">
        <w:rPr>
          <w:b/>
        </w:rPr>
        <w:t>B</w:t>
      </w:r>
      <w:r w:rsidRPr="006F77DA">
        <w:t>)</w:t>
      </w:r>
      <w:r w:rsidRPr="00F327B5">
        <w:t xml:space="preserve"> Pathway enrichment profiles assessed via single-sample GSEA (</w:t>
      </w:r>
      <w:proofErr w:type="spellStart"/>
      <w:r w:rsidRPr="00F327B5">
        <w:t>ssGSEA</w:t>
      </w:r>
      <w:proofErr w:type="spellEnd"/>
      <w:r w:rsidRPr="00F327B5">
        <w:t xml:space="preserve">). </w:t>
      </w:r>
      <w:proofErr w:type="spellStart"/>
      <w:r w:rsidRPr="00F327B5">
        <w:t>MSigDB</w:t>
      </w:r>
      <w:proofErr w:type="spellEnd"/>
      <w:r w:rsidRPr="00F327B5">
        <w:t xml:space="preserve"> Hallmark gene sets were grouped into eight functional categories (y-axis). Circle color indicates the Mean Normalized Enrichment Score (Mean NES), reflecting pathway hyperactivation (red) or suppression (blue) in each clinical group. Circle size is proportional to the absolute magnitude of enrichment (Mean NES), representing the intensity of biological activity. </w:t>
      </w:r>
      <w:r w:rsidRPr="006F77DA">
        <w:t>(</w:t>
      </w:r>
      <w:r w:rsidR="001A6E76">
        <w:rPr>
          <w:b/>
        </w:rPr>
        <w:t>C</w:t>
      </w:r>
      <w:r w:rsidRPr="006F77DA">
        <w:t>)</w:t>
      </w:r>
      <w:r w:rsidRPr="00F327B5">
        <w:t xml:space="preserve"> Representative enrichment plots from classical GSEA, detailing key pathways driving resistance in each cohort. In the ZUMA-1 cohort, marked suppression of interferon (alpha and gamma) signaling and inflammatory signaling is observed in patients who did not achieve complete remission (</w:t>
      </w:r>
      <w:proofErr w:type="gramStart"/>
      <w:r w:rsidRPr="00F327B5">
        <w:t>Non-CR</w:t>
      </w:r>
      <w:proofErr w:type="gramEnd"/>
      <w:r w:rsidRPr="00F327B5">
        <w:t>). In the ZUMA-7 cohort, alterations in intrinsic signaling (Notch) and cell cycle proliferation programs (E2F targets, G2M checkpoint) appear enriched in patients from the Failure group.</w:t>
      </w:r>
    </w:p>
    <w:p w14:paraId="36416DCE" w14:textId="07D93521" w:rsidR="00F327B5" w:rsidRDefault="00F327B5" w:rsidP="000852E9">
      <w:pPr>
        <w:pStyle w:val="MDPI31text"/>
      </w:pPr>
      <w:r w:rsidRPr="00F327B5">
        <w:t>In the later-line cohort (ZUMA-1 baseline), the failure to achieve complete remission (</w:t>
      </w:r>
      <w:proofErr w:type="gramStart"/>
      <w:r w:rsidRPr="00F327B5">
        <w:t>Non-CR</w:t>
      </w:r>
      <w:proofErr w:type="gramEnd"/>
      <w:r w:rsidRPr="00F327B5">
        <w:t>) may have been driven by an intrinsically "cold" or anergic microenvironment. A marked transcriptional suppression of Interferon signaling pathways (alpha and gamma) and the global inflammatory response was observed (Figures 3</w:t>
      </w:r>
      <w:r w:rsidR="001A6E76">
        <w:t>B</w:t>
      </w:r>
      <w:r w:rsidRPr="00F327B5">
        <w:t xml:space="preserve"> and 3</w:t>
      </w:r>
      <w:r w:rsidR="001A6E76">
        <w:t>C</w:t>
      </w:r>
      <w:r w:rsidRPr="00F327B5">
        <w:t>). Differential gene expression analysis confirmed this phenotype, demonstrating that complete responders (CR) exhibited an upregulation of canonical interferon-stimulated genes (</w:t>
      </w:r>
      <w:r w:rsidRPr="001A6E76">
        <w:rPr>
          <w:i/>
          <w:iCs/>
        </w:rPr>
        <w:t>STAT1</w:t>
      </w:r>
      <w:r w:rsidRPr="00F327B5">
        <w:t xml:space="preserve">, </w:t>
      </w:r>
      <w:r w:rsidRPr="001A6E76">
        <w:rPr>
          <w:i/>
          <w:iCs/>
        </w:rPr>
        <w:t>MX1</w:t>
      </w:r>
      <w:r w:rsidRPr="00F327B5">
        <w:t xml:space="preserve">, </w:t>
      </w:r>
      <w:r w:rsidRPr="001A6E76">
        <w:rPr>
          <w:i/>
          <w:iCs/>
        </w:rPr>
        <w:t>IFI27</w:t>
      </w:r>
      <w:r w:rsidRPr="00F327B5">
        <w:t xml:space="preserve">), whereas the </w:t>
      </w:r>
      <w:proofErr w:type="gramStart"/>
      <w:r w:rsidRPr="00F327B5">
        <w:t>Non-CR</w:t>
      </w:r>
      <w:proofErr w:type="gramEnd"/>
      <w:r w:rsidRPr="00F327B5">
        <w:t xml:space="preserve"> group was enriched for alternative chemotactic markers (</w:t>
      </w:r>
      <w:r w:rsidRPr="001A6E76">
        <w:rPr>
          <w:i/>
          <w:iCs/>
        </w:rPr>
        <w:t>CCL20</w:t>
      </w:r>
      <w:r w:rsidRPr="00F327B5">
        <w:t xml:space="preserve">) and </w:t>
      </w:r>
      <w:r w:rsidRPr="001A6E76">
        <w:rPr>
          <w:i/>
          <w:iCs/>
        </w:rPr>
        <w:t>MAGE</w:t>
      </w:r>
      <w:r w:rsidRPr="00F327B5">
        <w:t>/</w:t>
      </w:r>
      <w:r w:rsidRPr="001A6E76">
        <w:rPr>
          <w:i/>
          <w:iCs/>
        </w:rPr>
        <w:t>KIR</w:t>
      </w:r>
      <w:r w:rsidRPr="00F327B5">
        <w:t xml:space="preserve"> family genes (Supplementary Table S2).</w:t>
      </w:r>
    </w:p>
    <w:p w14:paraId="371C6035" w14:textId="2267CC4D" w:rsidR="00F327B5" w:rsidRDefault="00F327B5" w:rsidP="000852E9">
      <w:pPr>
        <w:pStyle w:val="MDPI31text"/>
      </w:pPr>
      <w:r w:rsidRPr="00F327B5">
        <w:t>In contrast, within the earlier-line cohort (ZUMA-7 baseline), therapeutic failure was not governed by immune deprivation, but rather by intrinsic tumor dedifferentiation and unrestrained proliferation. The group experiencing treatment failure displayed marked hyperactivation of cell cycle programs (E2F targets, G2/M checkpoint) and embryonic developmental pathways (Notch signaling) (Figures 3</w:t>
      </w:r>
      <w:r>
        <w:t>b</w:t>
      </w:r>
      <w:r w:rsidRPr="00F327B5">
        <w:t>, 3</w:t>
      </w:r>
      <w:r>
        <w:t>c</w:t>
      </w:r>
      <w:r w:rsidRPr="00F327B5">
        <w:t>; Supplementary Table S3). Consistently, differential expression highlighted the upregulation of markers associated with tissue remodeling and cellular adhesion (</w:t>
      </w:r>
      <w:r w:rsidRPr="001A6E76">
        <w:rPr>
          <w:i/>
          <w:iCs/>
        </w:rPr>
        <w:t>MET</w:t>
      </w:r>
      <w:r w:rsidRPr="00F327B5">
        <w:t xml:space="preserve">, </w:t>
      </w:r>
      <w:r w:rsidRPr="001A6E76">
        <w:rPr>
          <w:i/>
          <w:iCs/>
        </w:rPr>
        <w:t>EPCAM</w:t>
      </w:r>
      <w:r w:rsidRPr="00F327B5">
        <w:t xml:space="preserve">, </w:t>
      </w:r>
      <w:r w:rsidRPr="001A6E76">
        <w:rPr>
          <w:i/>
          <w:iCs/>
        </w:rPr>
        <w:t>NCAM1</w:t>
      </w:r>
      <w:r w:rsidRPr="00F327B5">
        <w:t>) in patients who failed therapy, as opposed to the preservation of mature B-cell lineage markers (</w:t>
      </w:r>
      <w:r w:rsidRPr="001A6E76">
        <w:rPr>
          <w:i/>
          <w:iCs/>
        </w:rPr>
        <w:t>CD19</w:t>
      </w:r>
      <w:r w:rsidRPr="00F327B5">
        <w:t xml:space="preserve">, </w:t>
      </w:r>
      <w:r w:rsidRPr="001A6E76">
        <w:rPr>
          <w:i/>
          <w:iCs/>
        </w:rPr>
        <w:t>MS4A1</w:t>
      </w:r>
      <w:r w:rsidRPr="00F327B5">
        <w:t>) in the sustained response group (Supplementary Table S2). Global analysis of TME modules (IO360 platform) confirmed that absolute stromal and myeloid cell populations did not differ significantly between clinical outcomes following FDR adjustment (Supplementary Table S4), reiterating the central role of intrinsic tumor aggressiveness in early-line escape.</w:t>
      </w:r>
    </w:p>
    <w:p w14:paraId="2F46B67E" w14:textId="440276D6" w:rsidR="007D01FF" w:rsidRDefault="00F327B5" w:rsidP="000852E9">
      <w:pPr>
        <w:pStyle w:val="MDPI31text"/>
      </w:pPr>
      <w:r w:rsidRPr="00F327B5">
        <w:t>Finally, to map the dynamics of acquired resistance, we evaluated paired longitudinal biopsies from the ZUMA-1 study (Supplementary Figure S2</w:t>
      </w:r>
      <w:r>
        <w:t>a</w:t>
      </w:r>
      <w:r w:rsidRPr="00F327B5">
        <w:t>). Alongside the anticipated clearance of B-cell antigens, the residual post-infusion microenvironment was dominated by the induction of tissue damage repair pathways, including IL-6/JAK/STAT3 signaling, the Complement cascade, Coagulation, and EMT-like programs (Supplementary Figure S2</w:t>
      </w:r>
      <w:r>
        <w:t>b</w:t>
      </w:r>
      <w:r w:rsidRPr="00F327B5">
        <w:t xml:space="preserve">). This profile reflects the local inflammatory "storm" induced by CAR T-cell cytotoxicity, which appears to foster </w:t>
      </w:r>
      <w:proofErr w:type="gramStart"/>
      <w:r w:rsidRPr="00F327B5">
        <w:t>a wound</w:t>
      </w:r>
      <w:proofErr w:type="gramEnd"/>
      <w:r w:rsidRPr="00F327B5">
        <w:t>-healing and tissue remodeling niche conducive to eventual tumor escape.</w:t>
      </w:r>
    </w:p>
    <w:p w14:paraId="365E15E1" w14:textId="77777777" w:rsidR="00F327B5" w:rsidRDefault="00F327B5" w:rsidP="000852E9">
      <w:pPr>
        <w:pStyle w:val="MDPI31text"/>
      </w:pPr>
    </w:p>
    <w:p w14:paraId="576CEC3F" w14:textId="1CE11D10" w:rsidR="00C7205A" w:rsidRPr="006F77DA" w:rsidRDefault="00C7205A" w:rsidP="00C7205A">
      <w:pPr>
        <w:pStyle w:val="MDPI22heading2"/>
        <w:spacing w:before="240"/>
        <w:rPr>
          <w:noProof w:val="0"/>
        </w:rPr>
      </w:pPr>
      <w:r w:rsidRPr="00C7205A">
        <w:rPr>
          <w:noProof w:val="0"/>
        </w:rPr>
        <w:t>3.4 Independent Prognostic Impact and Microenvironment Dynamics of Resistance Signatures</w:t>
      </w:r>
    </w:p>
    <w:p w14:paraId="64AB39B6" w14:textId="5F428FB6" w:rsidR="00C7205A" w:rsidRDefault="00C7205A" w:rsidP="000852E9">
      <w:pPr>
        <w:pStyle w:val="MDPI31text"/>
      </w:pPr>
      <w:r w:rsidRPr="00C7205A">
        <w:t>To establish the translational clinical utility of the previously identified transcriptomic differences, we evaluated their direct impact on EFS. Kaplan-Meier survival estimates confirmed that dichotomization of the expression of these transcripts successfully stratified patient clinical outcomes (Figure 4</w:t>
      </w:r>
      <w:r>
        <w:t>a).</w:t>
      </w:r>
    </w:p>
    <w:p w14:paraId="072632A6" w14:textId="77777777" w:rsidR="00C7205A" w:rsidRDefault="00C7205A" w:rsidP="00C7205A">
      <w:pPr>
        <w:pStyle w:val="MDPI31text"/>
        <w:ind w:left="0" w:firstLine="0"/>
      </w:pPr>
    </w:p>
    <w:p w14:paraId="7892759D" w14:textId="1033BB11" w:rsidR="00C7205A" w:rsidRDefault="00C7205A" w:rsidP="00C7205A">
      <w:pPr>
        <w:pStyle w:val="MDPI31text"/>
        <w:ind w:left="0" w:firstLine="0"/>
      </w:pPr>
      <w:r>
        <w:rPr>
          <w:noProof/>
          <w:snapToGrid/>
        </w:rPr>
        <w:lastRenderedPageBreak/>
        <w:drawing>
          <wp:inline distT="0" distB="0" distL="0" distR="0" wp14:anchorId="2B9C33C0" wp14:editId="24B4CB22">
            <wp:extent cx="6645910" cy="7915275"/>
            <wp:effectExtent l="0" t="0" r="2540" b="9525"/>
            <wp:docPr id="132710753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07539" name="Imagem 1327107539"/>
                    <pic:cNvPicPr/>
                  </pic:nvPicPr>
                  <pic:blipFill>
                    <a:blip r:embed="rId12"/>
                    <a:stretch>
                      <a:fillRect/>
                    </a:stretch>
                  </pic:blipFill>
                  <pic:spPr>
                    <a:xfrm>
                      <a:off x="0" y="0"/>
                      <a:ext cx="6645910" cy="7915275"/>
                    </a:xfrm>
                    <a:prstGeom prst="rect">
                      <a:avLst/>
                    </a:prstGeom>
                  </pic:spPr>
                </pic:pic>
              </a:graphicData>
            </a:graphic>
          </wp:inline>
        </w:drawing>
      </w:r>
    </w:p>
    <w:p w14:paraId="465282FA" w14:textId="77777777" w:rsidR="00F327B5" w:rsidRDefault="00F327B5" w:rsidP="000852E9">
      <w:pPr>
        <w:pStyle w:val="MDPI31text"/>
      </w:pPr>
    </w:p>
    <w:p w14:paraId="230BD1F3" w14:textId="77777777" w:rsidR="00F327B5" w:rsidRDefault="00F327B5" w:rsidP="000852E9">
      <w:pPr>
        <w:pStyle w:val="MDPI31text"/>
      </w:pPr>
    </w:p>
    <w:p w14:paraId="7F319D7C" w14:textId="74602FA5" w:rsidR="00C7205A" w:rsidRPr="006F77DA" w:rsidRDefault="00C7205A" w:rsidP="00C7205A">
      <w:pPr>
        <w:pStyle w:val="MDPI51figurecaption"/>
      </w:pPr>
      <w:r w:rsidRPr="006F77DA">
        <w:rPr>
          <w:b/>
        </w:rPr>
        <w:t xml:space="preserve">Figure </w:t>
      </w:r>
      <w:r>
        <w:rPr>
          <w:b/>
        </w:rPr>
        <w:t>4</w:t>
      </w:r>
      <w:r w:rsidR="00F02E84">
        <w:rPr>
          <w:b/>
        </w:rPr>
        <w:t>.</w:t>
      </w:r>
      <w:r>
        <w:rPr>
          <w:b/>
        </w:rPr>
        <w:t xml:space="preserve"> </w:t>
      </w:r>
      <w:r w:rsidRPr="00F02E84">
        <w:rPr>
          <w:bCs/>
        </w:rPr>
        <w:t>Prognostic assessment and microenvironment independence of transcriptional signatures in the ZUMA-7 cohort.</w:t>
      </w:r>
      <w:r w:rsidRPr="006F77DA">
        <w:rPr>
          <w:b/>
        </w:rPr>
        <w:t xml:space="preserve"> </w:t>
      </w:r>
      <w:r w:rsidRPr="006F77DA">
        <w:t>(</w:t>
      </w:r>
      <w:r w:rsidR="001A6E76">
        <w:rPr>
          <w:b/>
        </w:rPr>
        <w:t>A</w:t>
      </w:r>
      <w:r w:rsidRPr="006F77DA">
        <w:t xml:space="preserve">) </w:t>
      </w:r>
      <w:r w:rsidRPr="00C7205A">
        <w:t xml:space="preserve">Kaplan-Meier estimates for EFS, stratifying patients according to the expression (High in red vs. Low in blue) of potential biomarkers. Statistical significance was assessed using the log-rank test. </w:t>
      </w:r>
      <w:r w:rsidRPr="006F77DA">
        <w:t>(</w:t>
      </w:r>
      <w:r w:rsidR="001A6E76">
        <w:rPr>
          <w:b/>
        </w:rPr>
        <w:t>B</w:t>
      </w:r>
      <w:r w:rsidRPr="006F77DA">
        <w:t xml:space="preserve">) </w:t>
      </w:r>
      <w:r w:rsidRPr="00C7205A">
        <w:t xml:space="preserve">Multivariate Cox proportional hazards analysis validating the </w:t>
      </w:r>
      <w:r w:rsidRPr="00C7205A">
        <w:lastRenderedPageBreak/>
        <w:t xml:space="preserve">independent prognostic impact of target genes on EFS, following clinical adjustment for baseline tumor burden (SPD) and lymphoma subtype (Cell of Origin, COO). Hazard Ratios greater than 1 (red) indicate genes associated with a worse clinical outcome, whereas values less than 1 (blue) denote a protective biological effect. </w:t>
      </w:r>
      <w:r w:rsidRPr="006F77DA">
        <w:t>(</w:t>
      </w:r>
      <w:r w:rsidR="001A6E76">
        <w:rPr>
          <w:b/>
        </w:rPr>
        <w:t>C</w:t>
      </w:r>
      <w:r w:rsidRPr="006F77DA">
        <w:t xml:space="preserve">) </w:t>
      </w:r>
      <w:r w:rsidRPr="00C7205A">
        <w:t>Spearman correlation matrix mapping interactions within the tumor ecosystem between candidate gene expression and the absolute abundance of immune and stromal populations, estimated using the MCP-counter algorithm. Statistical significance (p &lt; 0.05; ** p &lt; 0.01; *** p &lt; 0.001) represents the strength of the association between potential marker genes and the estimated cell types.</w:t>
      </w:r>
    </w:p>
    <w:p w14:paraId="36006E0F" w14:textId="5FA3D485" w:rsidR="00F327B5" w:rsidRDefault="00C7205A" w:rsidP="000852E9">
      <w:pPr>
        <w:pStyle w:val="MDPI31text"/>
      </w:pPr>
      <w:r w:rsidRPr="00C7205A">
        <w:t>Specifically, the preservation of B-cell lineage identity and antigen presentation machinery (</w:t>
      </w:r>
      <w:r w:rsidRPr="001A6E76">
        <w:rPr>
          <w:i/>
          <w:iCs/>
        </w:rPr>
        <w:t>CD19</w:t>
      </w:r>
      <w:r w:rsidRPr="00C7205A">
        <w:t xml:space="preserve">, </w:t>
      </w:r>
      <w:r w:rsidRPr="001A6E76">
        <w:rPr>
          <w:i/>
          <w:iCs/>
        </w:rPr>
        <w:t>MS4A1</w:t>
      </w:r>
      <w:r w:rsidRPr="00C7205A">
        <w:t xml:space="preserve">, </w:t>
      </w:r>
      <w:r w:rsidRPr="001A6E76">
        <w:rPr>
          <w:i/>
          <w:iCs/>
        </w:rPr>
        <w:t>TNFRSF17</w:t>
      </w:r>
      <w:r w:rsidRPr="00C7205A">
        <w:t xml:space="preserve">, </w:t>
      </w:r>
      <w:r w:rsidRPr="001A6E76">
        <w:rPr>
          <w:i/>
          <w:iCs/>
        </w:rPr>
        <w:t>HLA-DOB</w:t>
      </w:r>
      <w:r w:rsidRPr="00C7205A">
        <w:t>), along with mature lymphoid markers (</w:t>
      </w:r>
      <w:r w:rsidRPr="001A6E76">
        <w:rPr>
          <w:i/>
          <w:iCs/>
        </w:rPr>
        <w:t>IRF8</w:t>
      </w:r>
      <w:r w:rsidRPr="00C7205A">
        <w:t xml:space="preserve">, </w:t>
      </w:r>
      <w:r w:rsidRPr="001A6E76">
        <w:rPr>
          <w:i/>
          <w:iCs/>
        </w:rPr>
        <w:t>BTLA</w:t>
      </w:r>
      <w:r w:rsidRPr="00C7205A">
        <w:t xml:space="preserve">, </w:t>
      </w:r>
      <w:r w:rsidRPr="001A6E76">
        <w:rPr>
          <w:i/>
          <w:iCs/>
        </w:rPr>
        <w:t>LY9</w:t>
      </w:r>
      <w:r w:rsidRPr="00C7205A">
        <w:t xml:space="preserve">), emerged as powerful independent protective factors (HR ranging from 0.77 to 0.86; all p &lt; 0.05), dictating prolonged clinical benefit with </w:t>
      </w:r>
      <w:proofErr w:type="spellStart"/>
      <w:r w:rsidR="00262E87">
        <w:t>a</w:t>
      </w:r>
      <w:r w:rsidRPr="00C7205A">
        <w:t>xi</w:t>
      </w:r>
      <w:proofErr w:type="spellEnd"/>
      <w:r w:rsidRPr="00C7205A">
        <w:t>-cel. In contrast, transcripts associated with alternative chemotaxis (</w:t>
      </w:r>
      <w:r w:rsidRPr="001A6E76">
        <w:rPr>
          <w:i/>
          <w:iCs/>
        </w:rPr>
        <w:t>CCL20</w:t>
      </w:r>
      <w:r w:rsidRPr="00C7205A">
        <w:t>; HR = 1.26), dysregulated signaling (</w:t>
      </w:r>
      <w:r w:rsidRPr="001A6E76">
        <w:rPr>
          <w:i/>
          <w:iCs/>
        </w:rPr>
        <w:t>DUSP5</w:t>
      </w:r>
      <w:r w:rsidRPr="00C7205A">
        <w:t xml:space="preserve">, </w:t>
      </w:r>
      <w:r w:rsidRPr="001A6E76">
        <w:rPr>
          <w:i/>
          <w:iCs/>
        </w:rPr>
        <w:t>WNT11</w:t>
      </w:r>
      <w:r w:rsidRPr="00C7205A">
        <w:t>), and markers of tissue remodeling and cellular adhesion (</w:t>
      </w:r>
      <w:r w:rsidRPr="001A6E76">
        <w:rPr>
          <w:i/>
          <w:iCs/>
        </w:rPr>
        <w:t>CDH2</w:t>
      </w:r>
      <w:r w:rsidRPr="00C7205A">
        <w:t xml:space="preserve">, </w:t>
      </w:r>
      <w:r w:rsidRPr="001A6E76">
        <w:rPr>
          <w:i/>
          <w:iCs/>
        </w:rPr>
        <w:t>NCAM1</w:t>
      </w:r>
      <w:r w:rsidRPr="00C7205A">
        <w:t xml:space="preserve">, </w:t>
      </w:r>
      <w:r w:rsidRPr="001A6E76">
        <w:rPr>
          <w:i/>
          <w:iCs/>
        </w:rPr>
        <w:t>LRRC32</w:t>
      </w:r>
      <w:r w:rsidRPr="00C7205A">
        <w:t>) were validated as intrinsic and independent risk factors (HR &gt; 1; p &lt; 0.05), driving early therapeutic failure regardless of tumor volume and lymphoma subtype</w:t>
      </w:r>
      <w:r>
        <w:t>.</w:t>
      </w:r>
    </w:p>
    <w:p w14:paraId="490C72F2" w14:textId="51DB8415" w:rsidR="00C7205A" w:rsidRDefault="00C7205A" w:rsidP="000852E9">
      <w:pPr>
        <w:pStyle w:val="MDPI31text"/>
      </w:pPr>
      <w:r w:rsidRPr="00C7205A">
        <w:t>Finally, to decode the cellular origin and crosstalk of these prognostic signatures within the tumor ecosystem, we conducted a Spearman correlation analysis pairing gene expression with the absolute abundance of immune and stromal populations (estimated using the MCP-counter algorithm) (Figure 4</w:t>
      </w:r>
      <w:r w:rsidR="001A6E76">
        <w:t>C</w:t>
      </w:r>
      <w:r w:rsidRPr="00C7205A">
        <w:t>). This topological mapping elucidated which genes were primarily derived from the intrinsic malignant clone versus those mediated by the recruitment of adjacent stromal or myeloid compartments, consolidating the cellular architecture of CAR-T resistance</w:t>
      </w:r>
      <w:r>
        <w:t>.</w:t>
      </w:r>
    </w:p>
    <w:p w14:paraId="477777B3" w14:textId="18CF71A3" w:rsidR="00F327B5" w:rsidRDefault="00C7205A" w:rsidP="000852E9">
      <w:pPr>
        <w:pStyle w:val="MDPI31text"/>
      </w:pPr>
      <w:r w:rsidRPr="00C7205A">
        <w:t xml:space="preserve">To substantiate the premise that resistance is primarily driven by intrinsic tumor biology and its functional programs (rather than the physical exclusion of immune cells), we evaluated the global microenvironmental composition. Cellular deconvolution (MCP-counter) demonstrated that the absolute abundance of baseline infiltrating immune and stromal populations was unable to stratify clinical response to </w:t>
      </w:r>
      <w:proofErr w:type="spellStart"/>
      <w:r w:rsidR="00262E87">
        <w:t>a</w:t>
      </w:r>
      <w:r w:rsidRPr="00C7205A">
        <w:t>xi</w:t>
      </w:r>
      <w:proofErr w:type="spellEnd"/>
      <w:r w:rsidRPr="00C7205A">
        <w:t>-cel in both the ZUMA-7 and ZUMA-1 cohorts (Supplementary Figure S3; all adjusted p-values non-significant). This lack of segregation by bulk population estimates reinforces the finding that it is the functional state - specifically the transcriptional phenotype of aggressive adhesion and tissue remodeling - rather than the quantitative count of infiltrating cells, that dictates therapeutic success or failure.</w:t>
      </w:r>
    </w:p>
    <w:p w14:paraId="73AB1887" w14:textId="77777777" w:rsidR="00C7205A" w:rsidRDefault="00C7205A" w:rsidP="000852E9">
      <w:pPr>
        <w:pStyle w:val="MDPI31text"/>
      </w:pPr>
    </w:p>
    <w:p w14:paraId="11D367F7" w14:textId="3A8E20B2" w:rsidR="00C7205A" w:rsidRPr="006F77DA" w:rsidRDefault="00C7205A" w:rsidP="00C7205A">
      <w:pPr>
        <w:pStyle w:val="MDPI22heading2"/>
        <w:spacing w:before="240"/>
        <w:rPr>
          <w:noProof w:val="0"/>
        </w:rPr>
      </w:pPr>
      <w:r w:rsidRPr="00C7205A">
        <w:rPr>
          <w:noProof w:val="0"/>
        </w:rPr>
        <w:t>3.5 Orthogonal Validation Confirms the Predictive Specificity of the Signature for CAR T-Cell Therapy</w:t>
      </w:r>
    </w:p>
    <w:p w14:paraId="728AC4CD" w14:textId="69B632A6" w:rsidR="00C7205A" w:rsidRDefault="00C7205A" w:rsidP="000852E9">
      <w:pPr>
        <w:pStyle w:val="MDPI31text"/>
      </w:pPr>
      <w:r w:rsidRPr="00C7205A">
        <w:t xml:space="preserve">To </w:t>
      </w:r>
      <w:proofErr w:type="gramStart"/>
      <w:r w:rsidRPr="00C7205A">
        <w:t>conclusively</w:t>
      </w:r>
      <w:proofErr w:type="gramEnd"/>
      <w:r w:rsidRPr="00C7205A">
        <w:t xml:space="preserve"> determine whether the identified biomarkers represent evasion mechanisms specific to cellular immunotherapy (predictive value) or merely reflect the intrinsic, generic aggressiveness of DLBCL (general prognostic value), we conducted a cross-orthogonal validation. The survival impact of each of the 16 candidate transcripts was contrasted in parallel across three distinct clinical scenarios: the experimental arm (ZUMA-7 </w:t>
      </w:r>
      <w:proofErr w:type="spellStart"/>
      <w:r w:rsidR="00262E87">
        <w:t>a</w:t>
      </w:r>
      <w:r w:rsidRPr="00C7205A">
        <w:t>xi</w:t>
      </w:r>
      <w:proofErr w:type="spellEnd"/>
      <w:r w:rsidRPr="00C7205A">
        <w:t>-cel; cellular therapy), the active control arm (ZUMA-7 SOC; salvage chemotherapy), and an independent first-line cohort (TCGA-DLBC; R-CHOP) (Figure 5).</w:t>
      </w:r>
    </w:p>
    <w:p w14:paraId="6BA7A161" w14:textId="77777777" w:rsidR="00F327B5" w:rsidRDefault="00F327B5" w:rsidP="00C7205A">
      <w:pPr>
        <w:pStyle w:val="MDPI31text"/>
        <w:ind w:left="0" w:firstLine="0"/>
      </w:pPr>
    </w:p>
    <w:p w14:paraId="40DE0035" w14:textId="112BD96C" w:rsidR="00C7205A" w:rsidRDefault="00C7205A" w:rsidP="00C7205A">
      <w:pPr>
        <w:pStyle w:val="MDPI31text"/>
        <w:ind w:left="0" w:firstLine="0"/>
      </w:pPr>
      <w:r>
        <w:rPr>
          <w:noProof/>
          <w:snapToGrid/>
        </w:rPr>
        <w:lastRenderedPageBreak/>
        <w:drawing>
          <wp:inline distT="0" distB="0" distL="0" distR="0" wp14:anchorId="5A40ABDF" wp14:editId="12DF8232">
            <wp:extent cx="6516370" cy="9216390"/>
            <wp:effectExtent l="0" t="0" r="0" b="0"/>
            <wp:docPr id="366320361" name="Gráfic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20361" name="Gráfico 366320361"/>
                    <pic:cNvPicPr/>
                  </pic:nvPicPr>
                  <pic:blipFill>
                    <a:blip r:embed="rId13">
                      <a:extLst>
                        <a:ext uri="{96DAC541-7B7A-43D3-8B79-37D633B846F1}">
                          <asvg:svgBlip xmlns:asvg="http://schemas.microsoft.com/office/drawing/2016/SVG/main" r:embed="rId14"/>
                        </a:ext>
                      </a:extLst>
                    </a:blip>
                    <a:stretch>
                      <a:fillRect/>
                    </a:stretch>
                  </pic:blipFill>
                  <pic:spPr>
                    <a:xfrm>
                      <a:off x="0" y="0"/>
                      <a:ext cx="6516370" cy="9216390"/>
                    </a:xfrm>
                    <a:prstGeom prst="rect">
                      <a:avLst/>
                    </a:prstGeom>
                  </pic:spPr>
                </pic:pic>
              </a:graphicData>
            </a:graphic>
          </wp:inline>
        </w:drawing>
      </w:r>
    </w:p>
    <w:p w14:paraId="199B0933" w14:textId="73D98F54" w:rsidR="00C7205A" w:rsidRPr="006F77DA" w:rsidRDefault="00C7205A" w:rsidP="00C7205A">
      <w:pPr>
        <w:pStyle w:val="MDPI51figurecaption"/>
      </w:pPr>
      <w:r w:rsidRPr="006F77DA">
        <w:rPr>
          <w:b/>
        </w:rPr>
        <w:lastRenderedPageBreak/>
        <w:t xml:space="preserve">Figure </w:t>
      </w:r>
      <w:r>
        <w:rPr>
          <w:b/>
        </w:rPr>
        <w:t>5</w:t>
      </w:r>
      <w:r w:rsidRPr="006F77DA">
        <w:rPr>
          <w:b/>
        </w:rPr>
        <w:t xml:space="preserve">. </w:t>
      </w:r>
      <w:r w:rsidR="00F02E84" w:rsidRPr="00F02E84">
        <w:t xml:space="preserve">Clinical orthogonal validation of the genomic signature as a specific predictive biomarker for CAR T-cell therapy. Kaplan-Meier survival curves for the 16 identified candidate genes, evaluating the impact of their baseline expression across three distinct clinical scenarios of DLBCL. For each gene, the panels display, from left to right: (1) ZUMA-7 </w:t>
      </w:r>
      <w:proofErr w:type="spellStart"/>
      <w:r w:rsidR="00262E87">
        <w:t>a</w:t>
      </w:r>
      <w:r w:rsidR="00F02E84" w:rsidRPr="00F02E84">
        <w:t>xi</w:t>
      </w:r>
      <w:proofErr w:type="spellEnd"/>
      <w:r w:rsidR="00F02E84" w:rsidRPr="00F02E84">
        <w:t xml:space="preserve">-cel: EFS in patients treated with anti-CD19 CAR T-cell therapy; (2) ZUMA-7 SOC: EFS in the randomized control arm treated with standard-of-care (SOC) salvage chemotherapy; and (3) TCGA-DLBC: Overall Survival in first-line patients treated with R-CHOP. Patients were strictly stratified into high-expression (High, red line) and low-expression (Low, blue line) groups based on the intra-cohort median expression threshold for each transcript. Follow-up time (x-axis) is presented in months for the ZUMA-7 study and in days for the TCGA cohort. Statistical significance was determined using the log-rank test. The retention of statistical significance (p &lt; 0.05) exclusively in the </w:t>
      </w:r>
      <w:proofErr w:type="spellStart"/>
      <w:r w:rsidR="00262E87">
        <w:t>a</w:t>
      </w:r>
      <w:r w:rsidR="00F02E84" w:rsidRPr="00F02E84">
        <w:t>xi</w:t>
      </w:r>
      <w:proofErr w:type="spellEnd"/>
      <w:r w:rsidR="00F02E84" w:rsidRPr="00F02E84">
        <w:t>-cel arm - while absent in the SOC and TCGA-DLBC arms for most targets - validates the signature's predictive nature regarding resistance mechanisms specific to cellular immunotherapy. The WNT11 gene serves as a notable exception, demonstrating pan-prognostic value indicating intrinsic tumor aggressiveness independent of the therapeutic modality.</w:t>
      </w:r>
    </w:p>
    <w:p w14:paraId="75010EDB" w14:textId="1E6FBD90" w:rsidR="00C7205A" w:rsidRDefault="00F02E84" w:rsidP="000852E9">
      <w:pPr>
        <w:pStyle w:val="MDPI31text"/>
      </w:pPr>
      <w:r w:rsidRPr="00F02E84">
        <w:t xml:space="preserve">Kaplan-Meier survival analyses revealed that 15 of the 16 genes in the panel retained statistical significance for survival stratification strictly confined to the </w:t>
      </w:r>
      <w:proofErr w:type="spellStart"/>
      <w:r w:rsidR="00262E87">
        <w:t>a</w:t>
      </w:r>
      <w:r w:rsidRPr="00F02E84">
        <w:t>xi</w:t>
      </w:r>
      <w:proofErr w:type="spellEnd"/>
      <w:r w:rsidRPr="00F02E84">
        <w:t xml:space="preserve">-cel arm. This lack of impact under the pressure of conventional treatments indicates that these transcriptomic perturbations may orchestrate a genuine evasion program highly specific to anti-CD19 CAR T-cell biology. The sole exception within this panel was the </w:t>
      </w:r>
      <w:r w:rsidRPr="001A6E76">
        <w:rPr>
          <w:i/>
          <w:iCs/>
        </w:rPr>
        <w:t>WNT11</w:t>
      </w:r>
      <w:r w:rsidRPr="00F02E84">
        <w:t xml:space="preserve"> gene. The overexpression of this transcript was associated with consistently inferior clinical outcomes in TCGA-DLBC. This finding suggests that </w:t>
      </w:r>
      <w:r w:rsidRPr="001A6E76">
        <w:rPr>
          <w:i/>
          <w:iCs/>
        </w:rPr>
        <w:t>WNT11</w:t>
      </w:r>
      <w:r w:rsidRPr="00F02E84">
        <w:t xml:space="preserve"> may act as a pan-prognostic marker of failure, reflecting a state of cellular dedifferentiation and baseline lymphoma aggressiveness that confers cross-resistance to both chemotherapy and cellular immunotherapy.</w:t>
      </w:r>
    </w:p>
    <w:p w14:paraId="692D63B7" w14:textId="77777777" w:rsidR="00F02E84" w:rsidRDefault="00F02E84" w:rsidP="000852E9">
      <w:pPr>
        <w:pStyle w:val="MDPI31text"/>
      </w:pPr>
    </w:p>
    <w:p w14:paraId="3C87418F" w14:textId="31D5C0D2" w:rsidR="00F02E84" w:rsidRPr="006F77DA" w:rsidRDefault="00F02E84" w:rsidP="00F02E84">
      <w:pPr>
        <w:pStyle w:val="MDPI22heading2"/>
        <w:spacing w:before="240"/>
        <w:rPr>
          <w:noProof w:val="0"/>
        </w:rPr>
      </w:pPr>
      <w:r w:rsidRPr="00F02E84">
        <w:rPr>
          <w:noProof w:val="0"/>
        </w:rPr>
        <w:t>3.6 Integration of the Current Findings with the Published ZUMA-1 and ZUMA-7 Analyses</w:t>
      </w:r>
    </w:p>
    <w:p w14:paraId="142E910C" w14:textId="527E2484" w:rsidR="001B6FAF" w:rsidRPr="00685B00" w:rsidRDefault="00F02E84" w:rsidP="00685B00">
      <w:pPr>
        <w:pStyle w:val="MDPI31text"/>
      </w:pPr>
      <w:r w:rsidRPr="00F02E84">
        <w:t>To contextualize the findings of the present study, we compared the 16 candidate biomarkers identified in our analyses with the transcriptomic results originally reported for the ZUMA-1</w:t>
      </w:r>
      <w:r>
        <w:t xml:space="preserve"> </w:t>
      </w:r>
      <w:r>
        <w:fldChar w:fldCharType="begin"/>
      </w:r>
      <w:r>
        <w:instrText xml:space="preserve"> ADDIN ZOTERO_ITEM CSL_CITATION {"citationID":"DAW92Pgl","properties":{"unsorted":false,"formattedCitation":"[34]","plainCitation":"[34]","noteIndex":0},"citationItems":[{"id":629,"uris":["http://zotero.org/users/17472926/items/DVKAYPP4"],"itemData":{"id":629,"type":"article-journal","abstract":"Axicabtagene ciloleucel (axi-cel) is an anti-CD19 chimeric antigen receptor (CAR) T cell therapy approved for relapsed/refractory large B cell lymphoma (LBCL) and has treatment with similar efficacy across conventional LBCL subtypes. Toward patient stratification, we assessed whether tumor immune contexture influenced clinical outcomes after axi-cel. We evaluated the tumor microenvironment (TME) of 135 pre-treatment and post-treatment tumor biopsies taken from 51 patients in the ZUMA-1 phase 2 trial. We uncovered dynamic patterns that occurred within 2 weeks after axi-cel. The biological associations among Immunoscore (quantification of tumor-infiltrating T cell density), Immunosign 21 (expression of pre-defined immune gene panel) and cell subsets were validated in three independent LBCL datasets. In the ZUMA-1 trial samples, clinical response and overall survival were associated with pre-treatment immune contexture as characterized by Immunoscore and Immunosign 21. Circulating CAR T cell levels were associated with post-treatment TME T cell exhaustion. TME enriched for chemokines (CCL5 and CCL22), γ-chain receptor cytokines (IL-15, IL-7 and IL-21) and interferon-regulated molecules were associated with T cell infiltration and markers of activity. Finally, high density of regulatory T cells in pre-treatment TME associated with reduced axi-cel–related neurologic toxicity. These findings advance the understanding of LBCL TME characteristics associated with clinical responses to anti-CD19 CAR T cell therapy and could foster biomarker development and treatment optimization for patients with LBCL.","container-title":"Nature Medicine","DOI":"10.1038/s41591-022-01916-x","ISSN":"1546-170X","issue":"9","journalAbbreviation":"Nat Med","language":"en","license":"2022 The Author(s)","page":"1872-1882","publisher":"Nature Publishing Group","source":"www.nature.com","title":"Tumor immune contexture is a determinant of anti-CD19 CAR T cell efficacy in large B cell lymphoma","volume":"28","author":[{"family":"Scholler","given":"Nathalie"},{"family":"Perbost","given":"Regis"},{"family":"Locke","given":"Frederick L."},{"family":"Jain","given":"Michael D."},{"family":"Turcan","given":"Sarah"},{"family":"Danan","given":"Corinne"},{"family":"Chang","given":"Edmund C."},{"family":"Neelapu","given":"Sattva S."},{"family":"Miklos","given":"David B."},{"family":"Jacobson","given":"Caron A."},{"family":"Lekakis","given":"Lazaros J."},{"family":"Lin","given":"Yi"},{"family":"Ghobadi","given":"Armin"},{"family":"Kim","given":"Jenny J."},{"family":"Chou","given":"Justin"},{"family":"Plaks","given":"Vicki"},{"family":"Wang","given":"Zixing"},{"family":"Xue","given":"Allen"},{"family":"Mattie","given":"Mike"},{"family":"Rossi","given":"John M."},{"family":"Bot","given":"Adrian"},{"family":"Galon","given":"Jérôme"}],"issued":{"date-parts":[["2022",9]]}}}],"schema":"https://github.com/citation-style-language/schema/raw/master/csl-citation.json"} </w:instrText>
      </w:r>
      <w:r>
        <w:fldChar w:fldCharType="separate"/>
      </w:r>
      <w:r w:rsidRPr="00F02E84">
        <w:t>[34]</w:t>
      </w:r>
      <w:r>
        <w:fldChar w:fldCharType="end"/>
      </w:r>
      <w:r>
        <w:t xml:space="preserve"> </w:t>
      </w:r>
      <w:r w:rsidRPr="00F02E84">
        <w:t>and ZUMA-7</w:t>
      </w:r>
      <w:r>
        <w:t xml:space="preserve"> </w:t>
      </w:r>
      <w:r>
        <w:fldChar w:fldCharType="begin"/>
      </w:r>
      <w:r>
        <w:instrText xml:space="preserve"> ADDIN ZOTERO_ITEM CSL_CITATION {"citationID":"b1qmpeNr","properties":{"unsorted":false,"formattedCitation":"[33]","plainCitation":"[33]","noteIndex":0},"citationItems":[{"id":614,"uris":["http://zotero.org/users/17472926/items/2CSNINWF"],"itemData":{"id":614,"type":"article-journal","abstract":"The phase 3 ZUMA-7 trial in second-line large B cell lymphoma demonstrated superiority of anti-CD19 CAR T cell therapy (axicabtagene ciloleucel (axi-cel)) over standard of care (SOC; salvage chemotherapy followed by hematopoietic transplantation) (NCT03391466). Here, we present a prespecified exploratory analysis examining the association between pretreatment tumor characteristics and the efficacy of axi-cel versus SOC. B cell gene expression signature (GES) and CD19 expression associated significantly with improved event-free survival for axi-cel (P = 0.0002 for B cell GES; P = 0.0165 for CD19 expression) but not SOC (P = 0.9374 for B cell GES; P = 0.5526 for CD19 expression). Axi-cel showed superior event-free survival over SOC irrespective of B cell GES and CD19 expression (P = 8.56 × 10–9 for B cell GES high; P = 0.0019 for B cell GES low; P = 3.85 × 10–9 for CD19 gene high; P = 0.0017 for CD19 gene low). Low CD19 expression in malignant cells correlated with a tumor GES consisting of immune-suppressive stromal and myeloid genes, highlighting the inter-relation between malignant cell features and immune contexture substantially impacting axi-cel outcomes. Tumor burden, lactate dehydrogenase and cell-of-origin impacted SOC more than axi-cel outcomes. T cell activation and B cell GES, which are associated with improved axi-cel outcome, decreased with increasing lines of therapy. These data highlight differences in resistance mechanisms to axi-cel and SOC and support earlier intervention with axi-cel.","container-title":"Nature Medicine","DOI":"10.1038/s41591-023-02754-1","ISSN":"1546-170X","issue":"2","journalAbbreviation":"Nat Med","language":"en","license":"2024 The Author(s)","page":"507-518","publisher":"Nature Publishing Group","source":"www.nature.com","title":"Impact of tumor microenvironment on efficacy of anti-CD19 CAR T cell therapy or chemotherapy and transplant in large B cell lymphoma","volume":"30","author":[{"family":"Locke","given":"Frederick L."},{"family":"Filosto","given":"Simone"},{"family":"Chou","given":"Justin"},{"family":"Vardhanabhuti","given":"Saran"},{"family":"Perbost","given":"Regis"},{"family":"Dreger","given":"Peter"},{"family":"Hill","given":"Brian T."},{"family":"Lee","given":"Catherine"},{"family":"Zinzani","given":"Pier L."},{"family":"Kröger","given":"Nicolaus"},{"family":"López-Guillermo","given":"Armando"},{"family":"Greinix","given":"Hildegard"},{"family":"Zhang","given":"Wangshu"},{"family":"Tiwari","given":"Gayatri"},{"family":"Budka","given":"Justin"},{"family":"Marincola","given":"Francesco M."},{"family":"To","given":"Christina"},{"family":"Mattie","given":"Mike"},{"family":"Schupp","given":"Marco"},{"family":"Cheng","given":"Paul"},{"family":"Bot","given":"Adrian"},{"family":"Shen","given":"Rhine"},{"family":"Bedognetti","given":"Davide"},{"family":"Miao","given":"Harry"},{"family":"Galon","given":"Jérôme"}],"issued":{"date-parts":[["2024",2]]}}}],"schema":"https://github.com/citation-style-language/schema/raw/master/csl-citation.json"} </w:instrText>
      </w:r>
      <w:r>
        <w:fldChar w:fldCharType="separate"/>
      </w:r>
      <w:r w:rsidRPr="00F02E84">
        <w:t>[33]</w:t>
      </w:r>
      <w:r>
        <w:fldChar w:fldCharType="end"/>
      </w:r>
      <w:r>
        <w:t xml:space="preserve"> </w:t>
      </w:r>
      <w:r w:rsidRPr="00F02E84">
        <w:t>cohorts. Because the present analyses partly reuse these datasets, this comparison was intended to assess concordance with the published biological patterns and identify additional gene-level associations, rather than to provide independent validation. Cohort specifications and technical differences: ZUMA-1 evaluated heavily pre-treated (3rd-line) r/r DLBCL using a 724-gene panel (GSE197977), whereas ZUMA-7 involved 2nd-line r/r DLBCL analyzed via the expanded IO360 platform, which comprises 817 transcripts and signatures (GSE248835). These biological differences in treatment lines, combined with technical variations between the gene platforms, likely account for the distinct transcriptomic profiles observed between the cohorts. The results are summarized in Table 1.</w:t>
      </w:r>
    </w:p>
    <w:p w14:paraId="6A63270D" w14:textId="2C684EDF" w:rsidR="00685B00" w:rsidRPr="006F77DA" w:rsidRDefault="00685B00" w:rsidP="00685B00">
      <w:pPr>
        <w:pStyle w:val="MDPI41tablecaption"/>
      </w:pPr>
      <w:r w:rsidRPr="006F77DA">
        <w:rPr>
          <w:b/>
        </w:rPr>
        <w:t xml:space="preserve">Table </w:t>
      </w:r>
      <w:r>
        <w:rPr>
          <w:b/>
        </w:rPr>
        <w:t>1</w:t>
      </w:r>
      <w:r w:rsidRPr="006F77DA">
        <w:rPr>
          <w:b/>
        </w:rPr>
        <w:t xml:space="preserve">. </w:t>
      </w:r>
      <w:r w:rsidR="001E532C" w:rsidRPr="001E532C">
        <w:t xml:space="preserve">Comparison of the </w:t>
      </w:r>
      <w:proofErr w:type="gramStart"/>
      <w:r w:rsidR="001E532C" w:rsidRPr="001E532C">
        <w:t>16 candidate</w:t>
      </w:r>
      <w:proofErr w:type="gramEnd"/>
      <w:r w:rsidR="001E532C" w:rsidRPr="001E532C">
        <w:t xml:space="preserve"> baseline transcriptomic biomarkers identified in the present study with findings originally reported for the ZUMA-1 and ZUMA-7 trials</w:t>
      </w:r>
      <w:r w:rsidRPr="006F77DA">
        <w:t>.</w:t>
      </w:r>
    </w:p>
    <w:tbl>
      <w:tblPr>
        <w:tblW w:w="9498"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119"/>
        <w:gridCol w:w="2268"/>
        <w:gridCol w:w="4111"/>
      </w:tblGrid>
      <w:tr w:rsidR="004C79A2" w:rsidRPr="006F77DA" w14:paraId="75E8BD20" w14:textId="77777777" w:rsidTr="004C79A2">
        <w:trPr>
          <w:jc w:val="center"/>
        </w:trPr>
        <w:tc>
          <w:tcPr>
            <w:tcW w:w="3119" w:type="dxa"/>
            <w:tcBorders>
              <w:top w:val="single" w:sz="8" w:space="0" w:color="auto"/>
              <w:bottom w:val="single" w:sz="4" w:space="0" w:color="auto"/>
            </w:tcBorders>
            <w:vAlign w:val="center"/>
          </w:tcPr>
          <w:p w14:paraId="7245EAF1" w14:textId="2421AE82" w:rsidR="004C79A2" w:rsidRPr="004C79A2" w:rsidRDefault="004C79A2" w:rsidP="004C79A2">
            <w:pPr>
              <w:jc w:val="center"/>
              <w:rPr>
                <w:rFonts w:eastAsia="Times New Roman"/>
                <w:b/>
                <w:bCs/>
                <w:snapToGrid w:val="0"/>
                <w:lang w:eastAsia="de-DE" w:bidi="en-US"/>
              </w:rPr>
            </w:pPr>
            <w:r w:rsidRPr="004C79A2">
              <w:rPr>
                <w:rFonts w:eastAsia="Times New Roman"/>
                <w:b/>
                <w:bCs/>
                <w:snapToGrid w:val="0"/>
                <w:lang w:eastAsia="de-DE" w:bidi="en-US"/>
              </w:rPr>
              <w:t>Biological domain</w:t>
            </w:r>
          </w:p>
        </w:tc>
        <w:tc>
          <w:tcPr>
            <w:tcW w:w="2268" w:type="dxa"/>
            <w:tcBorders>
              <w:top w:val="single" w:sz="8" w:space="0" w:color="auto"/>
              <w:bottom w:val="single" w:sz="4" w:space="0" w:color="auto"/>
            </w:tcBorders>
            <w:vAlign w:val="center"/>
          </w:tcPr>
          <w:p w14:paraId="7F531A34" w14:textId="36D80500" w:rsidR="004C79A2" w:rsidRPr="006F77DA" w:rsidRDefault="004C79A2" w:rsidP="00F55DD4">
            <w:pPr>
              <w:pStyle w:val="MDPI42tablebody"/>
              <w:rPr>
                <w:b/>
                <w:bCs/>
              </w:rPr>
            </w:pPr>
            <w:r>
              <w:rPr>
                <w:b/>
                <w:bCs/>
              </w:rPr>
              <w:t>Marker</w:t>
            </w:r>
          </w:p>
        </w:tc>
        <w:tc>
          <w:tcPr>
            <w:tcW w:w="4111" w:type="dxa"/>
            <w:tcBorders>
              <w:top w:val="single" w:sz="8" w:space="0" w:color="auto"/>
              <w:bottom w:val="single" w:sz="4" w:space="0" w:color="auto"/>
            </w:tcBorders>
            <w:vAlign w:val="center"/>
            <w:hideMark/>
          </w:tcPr>
          <w:p w14:paraId="32214A6E" w14:textId="77777777" w:rsidR="004C79A2" w:rsidRPr="006F77DA" w:rsidRDefault="004C79A2" w:rsidP="00F55DD4">
            <w:pPr>
              <w:pStyle w:val="MDPI42tablebody"/>
              <w:rPr>
                <w:b/>
                <w:bCs/>
              </w:rPr>
            </w:pPr>
            <w:r w:rsidRPr="006F77DA">
              <w:rPr>
                <w:b/>
                <w:bCs/>
              </w:rPr>
              <w:t>Title 3</w:t>
            </w:r>
          </w:p>
        </w:tc>
      </w:tr>
      <w:tr w:rsidR="004C79A2" w:rsidRPr="006F77DA" w14:paraId="3A152ECE" w14:textId="77777777" w:rsidTr="004C79A2">
        <w:trPr>
          <w:jc w:val="center"/>
        </w:trPr>
        <w:tc>
          <w:tcPr>
            <w:tcW w:w="3119" w:type="dxa"/>
            <w:vMerge w:val="restart"/>
            <w:tcBorders>
              <w:top w:val="single" w:sz="4" w:space="0" w:color="auto"/>
            </w:tcBorders>
            <w:vAlign w:val="center"/>
            <w:hideMark/>
          </w:tcPr>
          <w:p w14:paraId="7CAC5B0C" w14:textId="7A363A33" w:rsidR="004C79A2" w:rsidRPr="006F77DA" w:rsidRDefault="004C79A2" w:rsidP="004C79A2">
            <w:pPr>
              <w:pStyle w:val="MDPI42tablebody"/>
            </w:pPr>
            <w:r>
              <w:t>B-cell lineage / target preservation</w:t>
            </w:r>
          </w:p>
        </w:tc>
        <w:tc>
          <w:tcPr>
            <w:tcW w:w="2268" w:type="dxa"/>
            <w:tcBorders>
              <w:top w:val="single" w:sz="4" w:space="0" w:color="auto"/>
              <w:bottom w:val="nil"/>
            </w:tcBorders>
            <w:vAlign w:val="center"/>
            <w:hideMark/>
          </w:tcPr>
          <w:p w14:paraId="7B2DE73F" w14:textId="65C94BA8" w:rsidR="004C79A2" w:rsidRPr="004C79A2" w:rsidRDefault="004C79A2" w:rsidP="00F55DD4">
            <w:pPr>
              <w:pStyle w:val="MDPI42tablebody"/>
              <w:rPr>
                <w:i/>
                <w:iCs/>
              </w:rPr>
            </w:pPr>
            <w:r w:rsidRPr="004C79A2">
              <w:rPr>
                <w:i/>
                <w:iCs/>
              </w:rPr>
              <w:t>CD19</w:t>
            </w:r>
          </w:p>
        </w:tc>
        <w:tc>
          <w:tcPr>
            <w:tcW w:w="4111" w:type="dxa"/>
            <w:tcBorders>
              <w:top w:val="single" w:sz="4" w:space="0" w:color="auto"/>
              <w:bottom w:val="nil"/>
            </w:tcBorders>
            <w:vAlign w:val="center"/>
          </w:tcPr>
          <w:p w14:paraId="2B0D60E3" w14:textId="19047641" w:rsidR="004C79A2" w:rsidRPr="006F77DA" w:rsidRDefault="004C79A2" w:rsidP="004C79A2">
            <w:pPr>
              <w:pStyle w:val="MDPI42tablebody"/>
              <w:jc w:val="both"/>
            </w:pPr>
            <w:r w:rsidRPr="004C79A2">
              <w:t>Directly concordant with ZUMA-7 baseline findings; ZUMA-1 provides post-treatment pharmacodynamic support.</w:t>
            </w:r>
          </w:p>
        </w:tc>
      </w:tr>
      <w:tr w:rsidR="004C79A2" w:rsidRPr="006F77DA" w14:paraId="7AF3CF86" w14:textId="77777777" w:rsidTr="004C79A2">
        <w:trPr>
          <w:jc w:val="center"/>
        </w:trPr>
        <w:tc>
          <w:tcPr>
            <w:tcW w:w="3119" w:type="dxa"/>
            <w:vMerge/>
            <w:vAlign w:val="center"/>
            <w:hideMark/>
          </w:tcPr>
          <w:p w14:paraId="59B176EA" w14:textId="77777777" w:rsidR="004C79A2" w:rsidRPr="006F77DA" w:rsidRDefault="004C79A2" w:rsidP="00F55DD4">
            <w:pPr>
              <w:pStyle w:val="MDPI42tablebody"/>
            </w:pPr>
          </w:p>
        </w:tc>
        <w:tc>
          <w:tcPr>
            <w:tcW w:w="2268" w:type="dxa"/>
            <w:tcBorders>
              <w:top w:val="nil"/>
              <w:bottom w:val="nil"/>
            </w:tcBorders>
            <w:vAlign w:val="center"/>
            <w:hideMark/>
          </w:tcPr>
          <w:p w14:paraId="082BE64C" w14:textId="676F78C8" w:rsidR="004C79A2" w:rsidRPr="006F77DA" w:rsidRDefault="004C79A2" w:rsidP="00F55DD4">
            <w:pPr>
              <w:pStyle w:val="MDPI42tablebody"/>
            </w:pPr>
            <w:r w:rsidRPr="001A6E76">
              <w:rPr>
                <w:i/>
                <w:iCs/>
              </w:rPr>
              <w:t>MS4A1</w:t>
            </w:r>
            <w:r w:rsidRPr="004C79A2">
              <w:t xml:space="preserve"> (</w:t>
            </w:r>
            <w:r w:rsidRPr="001A6E76">
              <w:rPr>
                <w:i/>
                <w:iCs/>
              </w:rPr>
              <w:t>CD20</w:t>
            </w:r>
            <w:r w:rsidRPr="004C79A2">
              <w:t>)</w:t>
            </w:r>
          </w:p>
        </w:tc>
        <w:tc>
          <w:tcPr>
            <w:tcW w:w="4111" w:type="dxa"/>
            <w:tcBorders>
              <w:top w:val="nil"/>
              <w:bottom w:val="nil"/>
            </w:tcBorders>
            <w:vAlign w:val="center"/>
          </w:tcPr>
          <w:p w14:paraId="172EABAE" w14:textId="269C429F" w:rsidR="004C79A2" w:rsidRPr="006F77DA" w:rsidRDefault="004C79A2" w:rsidP="004C79A2">
            <w:pPr>
              <w:pStyle w:val="MDPI42tablebody"/>
              <w:jc w:val="both"/>
            </w:pPr>
            <w:r w:rsidRPr="004C79A2">
              <w:t>Directly concordant with ZUMA-7 baseline findings; ZUMA-1 provides post-treatment B-cell-depletion support.</w:t>
            </w:r>
          </w:p>
        </w:tc>
      </w:tr>
      <w:tr w:rsidR="004C79A2" w:rsidRPr="006F77DA" w14:paraId="7C4C84E7" w14:textId="77777777" w:rsidTr="004C79A2">
        <w:trPr>
          <w:jc w:val="center"/>
        </w:trPr>
        <w:tc>
          <w:tcPr>
            <w:tcW w:w="3119" w:type="dxa"/>
            <w:vMerge/>
            <w:tcBorders>
              <w:bottom w:val="single" w:sz="4" w:space="0" w:color="auto"/>
            </w:tcBorders>
            <w:vAlign w:val="center"/>
          </w:tcPr>
          <w:p w14:paraId="766D36F2" w14:textId="77777777" w:rsidR="004C79A2" w:rsidRPr="006F77DA" w:rsidRDefault="004C79A2" w:rsidP="00F55DD4">
            <w:pPr>
              <w:pStyle w:val="MDPI42tablebody"/>
            </w:pPr>
          </w:p>
        </w:tc>
        <w:tc>
          <w:tcPr>
            <w:tcW w:w="2268" w:type="dxa"/>
            <w:tcBorders>
              <w:top w:val="nil"/>
              <w:bottom w:val="single" w:sz="4" w:space="0" w:color="auto"/>
            </w:tcBorders>
            <w:vAlign w:val="center"/>
          </w:tcPr>
          <w:p w14:paraId="56E1D813" w14:textId="5F25C2C3" w:rsidR="004C79A2" w:rsidRPr="006F77DA" w:rsidRDefault="004C79A2" w:rsidP="00F55DD4">
            <w:pPr>
              <w:pStyle w:val="MDPI42tablebody"/>
            </w:pPr>
            <w:r w:rsidRPr="001A6E76">
              <w:rPr>
                <w:i/>
                <w:iCs/>
              </w:rPr>
              <w:t>TNFRSF17</w:t>
            </w:r>
            <w:r w:rsidRPr="004C79A2">
              <w:t xml:space="preserve"> (</w:t>
            </w:r>
            <w:r w:rsidRPr="001A6E76">
              <w:rPr>
                <w:i/>
                <w:iCs/>
              </w:rPr>
              <w:t>BCMA</w:t>
            </w:r>
            <w:r w:rsidRPr="004C79A2">
              <w:t>)</w:t>
            </w:r>
          </w:p>
        </w:tc>
        <w:tc>
          <w:tcPr>
            <w:tcW w:w="4111" w:type="dxa"/>
            <w:tcBorders>
              <w:top w:val="nil"/>
              <w:bottom w:val="single" w:sz="4" w:space="0" w:color="auto"/>
            </w:tcBorders>
            <w:vAlign w:val="center"/>
          </w:tcPr>
          <w:p w14:paraId="312B3BFA" w14:textId="0168416D" w:rsidR="004C79A2" w:rsidRPr="006F77DA" w:rsidRDefault="004C79A2" w:rsidP="004C79A2">
            <w:pPr>
              <w:pStyle w:val="MDPI42tablebody"/>
              <w:jc w:val="both"/>
            </w:pPr>
            <w:r w:rsidRPr="004C79A2">
              <w:t>Directly concordant with ZUMA-7 baseline findings; ZUMA-1 provides qualitative post-treatment support.</w:t>
            </w:r>
          </w:p>
        </w:tc>
      </w:tr>
      <w:tr w:rsidR="004C79A2" w:rsidRPr="006F77DA" w14:paraId="78594DC8" w14:textId="77777777" w:rsidTr="004C79A2">
        <w:trPr>
          <w:jc w:val="center"/>
        </w:trPr>
        <w:tc>
          <w:tcPr>
            <w:tcW w:w="3119" w:type="dxa"/>
            <w:vMerge w:val="restart"/>
            <w:tcBorders>
              <w:top w:val="single" w:sz="4" w:space="0" w:color="auto"/>
              <w:bottom w:val="nil"/>
            </w:tcBorders>
            <w:vAlign w:val="center"/>
            <w:hideMark/>
          </w:tcPr>
          <w:p w14:paraId="1E938FF3" w14:textId="635222BF" w:rsidR="004C79A2" w:rsidRPr="006F77DA" w:rsidRDefault="004C79A2" w:rsidP="00F55DD4">
            <w:pPr>
              <w:pStyle w:val="MDPI42tablebody"/>
            </w:pPr>
            <w:r w:rsidRPr="004C79A2">
              <w:t>B-cell lineage / differentiation</w:t>
            </w:r>
          </w:p>
        </w:tc>
        <w:tc>
          <w:tcPr>
            <w:tcW w:w="2268" w:type="dxa"/>
            <w:tcBorders>
              <w:top w:val="single" w:sz="4" w:space="0" w:color="auto"/>
              <w:bottom w:val="nil"/>
            </w:tcBorders>
            <w:vAlign w:val="center"/>
            <w:hideMark/>
          </w:tcPr>
          <w:p w14:paraId="1E0624D6" w14:textId="418033C8" w:rsidR="004C79A2" w:rsidRPr="006F77DA" w:rsidRDefault="004C79A2" w:rsidP="00F55DD4">
            <w:pPr>
              <w:pStyle w:val="MDPI42tablebody"/>
            </w:pPr>
            <w:r w:rsidRPr="001A6E76">
              <w:rPr>
                <w:i/>
                <w:iCs/>
              </w:rPr>
              <w:t>LY9</w:t>
            </w:r>
            <w:r w:rsidRPr="004C79A2">
              <w:t xml:space="preserve"> (</w:t>
            </w:r>
            <w:r w:rsidRPr="001A6E76">
              <w:rPr>
                <w:i/>
                <w:iCs/>
              </w:rPr>
              <w:t>CD229</w:t>
            </w:r>
            <w:r w:rsidRPr="004C79A2">
              <w:t>)</w:t>
            </w:r>
          </w:p>
        </w:tc>
        <w:tc>
          <w:tcPr>
            <w:tcW w:w="4111" w:type="dxa"/>
            <w:tcBorders>
              <w:top w:val="single" w:sz="4" w:space="0" w:color="auto"/>
              <w:bottom w:val="nil"/>
            </w:tcBorders>
            <w:vAlign w:val="center"/>
            <w:hideMark/>
          </w:tcPr>
          <w:p w14:paraId="6CBFEB20" w14:textId="0B4FA7A3" w:rsidR="004C79A2" w:rsidRPr="006F77DA" w:rsidRDefault="004C79A2" w:rsidP="004C79A2">
            <w:pPr>
              <w:pStyle w:val="MDPI42tablebody"/>
              <w:jc w:val="both"/>
            </w:pPr>
            <w:r w:rsidRPr="004C79A2">
              <w:t>Newly identified gene-level baseline association in the present reanalysis.</w:t>
            </w:r>
          </w:p>
        </w:tc>
      </w:tr>
      <w:tr w:rsidR="004C79A2" w:rsidRPr="006F77DA" w14:paraId="69BDFA87" w14:textId="77777777" w:rsidTr="004C79A2">
        <w:trPr>
          <w:jc w:val="center"/>
        </w:trPr>
        <w:tc>
          <w:tcPr>
            <w:tcW w:w="3119" w:type="dxa"/>
            <w:vMerge/>
            <w:tcBorders>
              <w:top w:val="nil"/>
              <w:bottom w:val="single" w:sz="4" w:space="0" w:color="auto"/>
            </w:tcBorders>
            <w:vAlign w:val="center"/>
            <w:hideMark/>
          </w:tcPr>
          <w:p w14:paraId="1509FA07" w14:textId="77777777" w:rsidR="004C79A2" w:rsidRPr="006F77DA" w:rsidRDefault="004C79A2" w:rsidP="00F55DD4">
            <w:pPr>
              <w:pStyle w:val="MDPI42tablebody"/>
            </w:pPr>
          </w:p>
        </w:tc>
        <w:tc>
          <w:tcPr>
            <w:tcW w:w="2268" w:type="dxa"/>
            <w:tcBorders>
              <w:top w:val="nil"/>
              <w:bottom w:val="single" w:sz="4" w:space="0" w:color="auto"/>
            </w:tcBorders>
            <w:vAlign w:val="center"/>
            <w:hideMark/>
          </w:tcPr>
          <w:p w14:paraId="3AC9A87F" w14:textId="37E05AAD" w:rsidR="004C79A2" w:rsidRPr="006F77DA" w:rsidRDefault="004C79A2" w:rsidP="00F55DD4">
            <w:pPr>
              <w:pStyle w:val="MDPI42tablebody"/>
            </w:pPr>
            <w:r w:rsidRPr="001A6E76">
              <w:rPr>
                <w:i/>
                <w:iCs/>
              </w:rPr>
              <w:t>IRF8</w:t>
            </w:r>
          </w:p>
        </w:tc>
        <w:tc>
          <w:tcPr>
            <w:tcW w:w="4111" w:type="dxa"/>
            <w:tcBorders>
              <w:top w:val="nil"/>
              <w:bottom w:val="single" w:sz="4" w:space="0" w:color="auto"/>
            </w:tcBorders>
            <w:vAlign w:val="center"/>
            <w:hideMark/>
          </w:tcPr>
          <w:p w14:paraId="6551F4B0" w14:textId="0BEEC9CF" w:rsidR="004C79A2" w:rsidRPr="006F77DA" w:rsidRDefault="004C79A2" w:rsidP="004C79A2">
            <w:pPr>
              <w:pStyle w:val="MDPI42tablebody"/>
              <w:jc w:val="both"/>
            </w:pPr>
            <w:r w:rsidRPr="004C79A2">
              <w:t>Newly identified gene-level baseline association (present in ZUMA-1 profiling but not individually highlighted as a predictive marker).</w:t>
            </w:r>
          </w:p>
        </w:tc>
      </w:tr>
      <w:tr w:rsidR="004C79A2" w:rsidRPr="006F77DA" w14:paraId="659E1CEA" w14:textId="77777777" w:rsidTr="004C79A2">
        <w:trPr>
          <w:jc w:val="center"/>
        </w:trPr>
        <w:tc>
          <w:tcPr>
            <w:tcW w:w="3119" w:type="dxa"/>
            <w:tcBorders>
              <w:top w:val="single" w:sz="4" w:space="0" w:color="auto"/>
              <w:bottom w:val="nil"/>
            </w:tcBorders>
            <w:vAlign w:val="center"/>
            <w:hideMark/>
          </w:tcPr>
          <w:p w14:paraId="3840EA7B" w14:textId="6A5E96DC" w:rsidR="004C79A2" w:rsidRPr="006F77DA" w:rsidRDefault="004C79A2" w:rsidP="00F55DD4">
            <w:pPr>
              <w:pStyle w:val="MDPI42tablebody"/>
            </w:pPr>
            <w:r w:rsidRPr="004C79A2">
              <w:t>Antigen Presentation / immune competence</w:t>
            </w:r>
          </w:p>
        </w:tc>
        <w:tc>
          <w:tcPr>
            <w:tcW w:w="2268" w:type="dxa"/>
            <w:tcBorders>
              <w:top w:val="single" w:sz="4" w:space="0" w:color="auto"/>
              <w:bottom w:val="nil"/>
            </w:tcBorders>
            <w:vAlign w:val="center"/>
            <w:hideMark/>
          </w:tcPr>
          <w:p w14:paraId="2D703791" w14:textId="2C9A8069" w:rsidR="004C79A2" w:rsidRPr="001A6E76" w:rsidRDefault="004C79A2" w:rsidP="00F55DD4">
            <w:pPr>
              <w:pStyle w:val="MDPI42tablebody"/>
              <w:rPr>
                <w:i/>
                <w:iCs/>
              </w:rPr>
            </w:pPr>
            <w:r w:rsidRPr="001A6E76">
              <w:rPr>
                <w:i/>
                <w:iCs/>
              </w:rPr>
              <w:t>HLA-DOB</w:t>
            </w:r>
          </w:p>
        </w:tc>
        <w:tc>
          <w:tcPr>
            <w:tcW w:w="4111" w:type="dxa"/>
            <w:tcBorders>
              <w:top w:val="single" w:sz="4" w:space="0" w:color="auto"/>
              <w:bottom w:val="nil"/>
            </w:tcBorders>
            <w:vAlign w:val="center"/>
            <w:hideMark/>
          </w:tcPr>
          <w:p w14:paraId="45108912" w14:textId="769A9A7D" w:rsidR="004C79A2" w:rsidRPr="006F77DA" w:rsidRDefault="004C79A2" w:rsidP="004C79A2">
            <w:pPr>
              <w:pStyle w:val="MDPI42tablebody"/>
              <w:jc w:val="both"/>
            </w:pPr>
            <w:r w:rsidRPr="004C79A2">
              <w:t>Newly identified gene-level baseline association.</w:t>
            </w:r>
          </w:p>
        </w:tc>
      </w:tr>
      <w:tr w:rsidR="004C79A2" w:rsidRPr="006F77DA" w14:paraId="4BDB5DDE" w14:textId="77777777" w:rsidTr="004C79A2">
        <w:trPr>
          <w:jc w:val="center"/>
        </w:trPr>
        <w:tc>
          <w:tcPr>
            <w:tcW w:w="3119" w:type="dxa"/>
            <w:vMerge w:val="restart"/>
            <w:tcBorders>
              <w:top w:val="single" w:sz="4" w:space="0" w:color="auto"/>
              <w:bottom w:val="nil"/>
            </w:tcBorders>
            <w:vAlign w:val="center"/>
          </w:tcPr>
          <w:p w14:paraId="35208EA1" w14:textId="21684759" w:rsidR="004C79A2" w:rsidRPr="006F77DA" w:rsidRDefault="00310573" w:rsidP="00F55DD4">
            <w:pPr>
              <w:pStyle w:val="MDPI42tablebody"/>
            </w:pPr>
            <w:r w:rsidRPr="00310573">
              <w:t xml:space="preserve">Adverse </w:t>
            </w:r>
            <w:proofErr w:type="gramStart"/>
            <w:r w:rsidRPr="00310573">
              <w:t>microenvironment  /</w:t>
            </w:r>
            <w:proofErr w:type="gramEnd"/>
            <w:r w:rsidRPr="00310573">
              <w:t xml:space="preserve"> Resistance</w:t>
            </w:r>
          </w:p>
        </w:tc>
        <w:tc>
          <w:tcPr>
            <w:tcW w:w="2268" w:type="dxa"/>
            <w:tcBorders>
              <w:top w:val="single" w:sz="4" w:space="0" w:color="auto"/>
              <w:bottom w:val="nil"/>
            </w:tcBorders>
            <w:vAlign w:val="center"/>
          </w:tcPr>
          <w:p w14:paraId="3D0C9679" w14:textId="2073A7AD" w:rsidR="004C79A2" w:rsidRPr="006F77DA" w:rsidRDefault="00310573" w:rsidP="00F55DD4">
            <w:pPr>
              <w:pStyle w:val="MDPI42tablebody"/>
            </w:pPr>
            <w:r w:rsidRPr="001A6E76">
              <w:rPr>
                <w:i/>
                <w:iCs/>
              </w:rPr>
              <w:t>CCL20</w:t>
            </w:r>
          </w:p>
        </w:tc>
        <w:tc>
          <w:tcPr>
            <w:tcW w:w="4111" w:type="dxa"/>
            <w:tcBorders>
              <w:top w:val="single" w:sz="4" w:space="0" w:color="auto"/>
              <w:bottom w:val="nil"/>
            </w:tcBorders>
            <w:vAlign w:val="center"/>
          </w:tcPr>
          <w:p w14:paraId="26F56D96" w14:textId="18D6E295" w:rsidR="004C79A2" w:rsidRPr="006F77DA" w:rsidRDefault="00310573" w:rsidP="004C79A2">
            <w:pPr>
              <w:pStyle w:val="MDPI42tablebody"/>
              <w:jc w:val="both"/>
            </w:pPr>
            <w:r w:rsidRPr="00310573">
              <w:t>Newly identified gene-level baseline association with qualitative ZUMA-1 support (not direct replication).</w:t>
            </w:r>
          </w:p>
        </w:tc>
      </w:tr>
      <w:tr w:rsidR="004C79A2" w:rsidRPr="006F77DA" w14:paraId="13AE04AD" w14:textId="77777777" w:rsidTr="00310573">
        <w:trPr>
          <w:jc w:val="center"/>
        </w:trPr>
        <w:tc>
          <w:tcPr>
            <w:tcW w:w="3119" w:type="dxa"/>
            <w:vMerge/>
            <w:tcBorders>
              <w:top w:val="nil"/>
              <w:bottom w:val="single" w:sz="4" w:space="0" w:color="auto"/>
            </w:tcBorders>
            <w:vAlign w:val="center"/>
          </w:tcPr>
          <w:p w14:paraId="39ACEB89" w14:textId="77777777" w:rsidR="004C79A2" w:rsidRPr="006F77DA" w:rsidRDefault="004C79A2" w:rsidP="00F55DD4">
            <w:pPr>
              <w:pStyle w:val="MDPI42tablebody"/>
            </w:pPr>
          </w:p>
        </w:tc>
        <w:tc>
          <w:tcPr>
            <w:tcW w:w="2268" w:type="dxa"/>
            <w:tcBorders>
              <w:top w:val="nil"/>
              <w:bottom w:val="single" w:sz="4" w:space="0" w:color="auto"/>
            </w:tcBorders>
            <w:vAlign w:val="center"/>
          </w:tcPr>
          <w:p w14:paraId="39D4B119" w14:textId="3075BB83" w:rsidR="004C79A2" w:rsidRPr="006F77DA" w:rsidRDefault="00310573" w:rsidP="00F55DD4">
            <w:pPr>
              <w:pStyle w:val="MDPI42tablebody"/>
            </w:pPr>
            <w:r w:rsidRPr="001A6E76">
              <w:rPr>
                <w:i/>
                <w:iCs/>
              </w:rPr>
              <w:t>LRRC32</w:t>
            </w:r>
          </w:p>
        </w:tc>
        <w:tc>
          <w:tcPr>
            <w:tcW w:w="4111" w:type="dxa"/>
            <w:tcBorders>
              <w:top w:val="nil"/>
              <w:bottom w:val="single" w:sz="4" w:space="0" w:color="auto"/>
            </w:tcBorders>
            <w:vAlign w:val="center"/>
          </w:tcPr>
          <w:p w14:paraId="2F9AED1E" w14:textId="1DE0947A" w:rsidR="004C79A2" w:rsidRPr="006F77DA" w:rsidRDefault="00310573" w:rsidP="004C79A2">
            <w:pPr>
              <w:pStyle w:val="MDPI42tablebody"/>
              <w:jc w:val="both"/>
            </w:pPr>
            <w:r w:rsidRPr="00310573">
              <w:t>Newly identified gene-level baseline association.</w:t>
            </w:r>
          </w:p>
        </w:tc>
      </w:tr>
      <w:tr w:rsidR="00310573" w:rsidRPr="006F77DA" w14:paraId="4CDA9CE5" w14:textId="77777777" w:rsidTr="00B34348">
        <w:trPr>
          <w:jc w:val="center"/>
        </w:trPr>
        <w:tc>
          <w:tcPr>
            <w:tcW w:w="3119" w:type="dxa"/>
            <w:tcBorders>
              <w:top w:val="single" w:sz="4" w:space="0" w:color="auto"/>
              <w:bottom w:val="single" w:sz="4" w:space="0" w:color="auto"/>
            </w:tcBorders>
            <w:vAlign w:val="center"/>
          </w:tcPr>
          <w:p w14:paraId="6B5B1EF6" w14:textId="5845B565" w:rsidR="00310573" w:rsidRPr="006F77DA" w:rsidRDefault="00310573" w:rsidP="00F55DD4">
            <w:pPr>
              <w:pStyle w:val="MDPI42tablebody"/>
            </w:pPr>
            <w:r w:rsidRPr="00310573">
              <w:t>Adhesion /EMT-like remodeling / Intrinsic Resistance</w:t>
            </w:r>
          </w:p>
        </w:tc>
        <w:tc>
          <w:tcPr>
            <w:tcW w:w="2268" w:type="dxa"/>
            <w:tcBorders>
              <w:top w:val="single" w:sz="4" w:space="0" w:color="auto"/>
              <w:bottom w:val="single" w:sz="4" w:space="0" w:color="auto"/>
            </w:tcBorders>
            <w:vAlign w:val="center"/>
          </w:tcPr>
          <w:p w14:paraId="21BFAA8C" w14:textId="463A419C" w:rsidR="00310573" w:rsidRPr="00310573" w:rsidRDefault="00310573" w:rsidP="00F55DD4">
            <w:pPr>
              <w:pStyle w:val="MDPI42tablebody"/>
            </w:pPr>
            <w:r w:rsidRPr="00310573">
              <w:t>*</w:t>
            </w:r>
            <w:r w:rsidRPr="001A6E76">
              <w:rPr>
                <w:i/>
                <w:iCs/>
              </w:rPr>
              <w:t>NCAM1</w:t>
            </w:r>
            <w:r w:rsidRPr="00310573">
              <w:t xml:space="preserve"> (</w:t>
            </w:r>
            <w:r w:rsidRPr="001A6E76">
              <w:rPr>
                <w:i/>
                <w:iCs/>
              </w:rPr>
              <w:t>CD56</w:t>
            </w:r>
            <w:r w:rsidRPr="00310573">
              <w:t>)</w:t>
            </w:r>
          </w:p>
        </w:tc>
        <w:tc>
          <w:tcPr>
            <w:tcW w:w="4111" w:type="dxa"/>
            <w:tcBorders>
              <w:top w:val="single" w:sz="4" w:space="0" w:color="auto"/>
              <w:bottom w:val="single" w:sz="4" w:space="0" w:color="auto"/>
            </w:tcBorders>
            <w:vAlign w:val="center"/>
          </w:tcPr>
          <w:p w14:paraId="50FE74FB" w14:textId="774C4B67" w:rsidR="00310573" w:rsidRPr="00310573" w:rsidRDefault="00310573" w:rsidP="004C79A2">
            <w:pPr>
              <w:pStyle w:val="MDPI42tablebody"/>
              <w:jc w:val="both"/>
            </w:pPr>
            <w:r w:rsidRPr="00310573">
              <w:t>Newly identified gene-level baseline association; possible contextual relationship to the ZUMA-7 NK CD56dim signature, but not direct concordance.</w:t>
            </w:r>
          </w:p>
        </w:tc>
      </w:tr>
      <w:tr w:rsidR="00B34348" w:rsidRPr="006F77DA" w14:paraId="647A6B4D" w14:textId="77777777" w:rsidTr="00B34348">
        <w:trPr>
          <w:jc w:val="center"/>
        </w:trPr>
        <w:tc>
          <w:tcPr>
            <w:tcW w:w="3119" w:type="dxa"/>
            <w:tcBorders>
              <w:top w:val="single" w:sz="4" w:space="0" w:color="auto"/>
              <w:bottom w:val="single" w:sz="4" w:space="0" w:color="auto"/>
            </w:tcBorders>
            <w:vAlign w:val="center"/>
          </w:tcPr>
          <w:p w14:paraId="730052D2" w14:textId="4CFBA75F" w:rsidR="00B34348" w:rsidRPr="00310573" w:rsidRDefault="00B34348" w:rsidP="00F55DD4">
            <w:pPr>
              <w:pStyle w:val="MDPI42tablebody"/>
            </w:pPr>
            <w:r w:rsidRPr="00B34348">
              <w:t>Immune regulation</w:t>
            </w:r>
          </w:p>
        </w:tc>
        <w:tc>
          <w:tcPr>
            <w:tcW w:w="2268" w:type="dxa"/>
            <w:tcBorders>
              <w:top w:val="single" w:sz="4" w:space="0" w:color="auto"/>
              <w:bottom w:val="single" w:sz="4" w:space="0" w:color="auto"/>
            </w:tcBorders>
            <w:vAlign w:val="center"/>
          </w:tcPr>
          <w:p w14:paraId="6E762F9B" w14:textId="54193F9E" w:rsidR="00B34348" w:rsidRPr="00310573" w:rsidRDefault="00B34348" w:rsidP="00F55DD4">
            <w:pPr>
              <w:pStyle w:val="MDPI42tablebody"/>
            </w:pPr>
            <w:r w:rsidRPr="001A6E76">
              <w:rPr>
                <w:i/>
                <w:iCs/>
              </w:rPr>
              <w:t>BTLA</w:t>
            </w:r>
          </w:p>
        </w:tc>
        <w:tc>
          <w:tcPr>
            <w:tcW w:w="4111" w:type="dxa"/>
            <w:tcBorders>
              <w:top w:val="single" w:sz="4" w:space="0" w:color="auto"/>
              <w:bottom w:val="single" w:sz="4" w:space="0" w:color="auto"/>
            </w:tcBorders>
            <w:vAlign w:val="center"/>
          </w:tcPr>
          <w:p w14:paraId="470D4E1C" w14:textId="01116260" w:rsidR="00B34348" w:rsidRPr="00310573" w:rsidRDefault="00B34348" w:rsidP="004C79A2">
            <w:pPr>
              <w:pStyle w:val="MDPI42tablebody"/>
              <w:jc w:val="both"/>
            </w:pPr>
            <w:r w:rsidRPr="00B34348">
              <w:t>Newly identified baseline association; ZUMA-1 post-treatment change reflects pharmacodynamics rather than predictive replication.</w:t>
            </w:r>
          </w:p>
        </w:tc>
      </w:tr>
      <w:tr w:rsidR="00B34348" w:rsidRPr="006F77DA" w14:paraId="12A79E89" w14:textId="77777777" w:rsidTr="00B34348">
        <w:trPr>
          <w:jc w:val="center"/>
        </w:trPr>
        <w:tc>
          <w:tcPr>
            <w:tcW w:w="3119" w:type="dxa"/>
            <w:tcBorders>
              <w:top w:val="single" w:sz="4" w:space="0" w:color="auto"/>
              <w:bottom w:val="single" w:sz="4" w:space="0" w:color="auto"/>
            </w:tcBorders>
            <w:vAlign w:val="center"/>
          </w:tcPr>
          <w:p w14:paraId="14397C49" w14:textId="03F1781E" w:rsidR="00B34348" w:rsidRPr="00B34348" w:rsidRDefault="00B34348" w:rsidP="00F55DD4">
            <w:pPr>
              <w:pStyle w:val="MDPI42tablebody"/>
            </w:pPr>
            <w:r w:rsidRPr="00B34348">
              <w:t>Cytotoxic-cell-associated marker</w:t>
            </w:r>
          </w:p>
        </w:tc>
        <w:tc>
          <w:tcPr>
            <w:tcW w:w="2268" w:type="dxa"/>
            <w:tcBorders>
              <w:top w:val="single" w:sz="4" w:space="0" w:color="auto"/>
              <w:bottom w:val="single" w:sz="4" w:space="0" w:color="auto"/>
            </w:tcBorders>
            <w:vAlign w:val="center"/>
          </w:tcPr>
          <w:p w14:paraId="7C61BF81" w14:textId="05BD371A" w:rsidR="00B34348" w:rsidRPr="00B34348" w:rsidRDefault="00B34348" w:rsidP="00F55DD4">
            <w:pPr>
              <w:pStyle w:val="MDPI42tablebody"/>
            </w:pPr>
            <w:r w:rsidRPr="00B34348">
              <w:t>*</w:t>
            </w:r>
            <w:r w:rsidRPr="001A6E76">
              <w:rPr>
                <w:i/>
                <w:iCs/>
              </w:rPr>
              <w:t>KLRD1</w:t>
            </w:r>
            <w:r w:rsidRPr="00B34348">
              <w:t xml:space="preserve"> (</w:t>
            </w:r>
            <w:r w:rsidRPr="001A6E76">
              <w:rPr>
                <w:i/>
                <w:iCs/>
              </w:rPr>
              <w:t>CD94</w:t>
            </w:r>
            <w:r w:rsidRPr="00B34348">
              <w:t>)</w:t>
            </w:r>
          </w:p>
        </w:tc>
        <w:tc>
          <w:tcPr>
            <w:tcW w:w="4111" w:type="dxa"/>
            <w:tcBorders>
              <w:top w:val="single" w:sz="4" w:space="0" w:color="auto"/>
              <w:bottom w:val="single" w:sz="4" w:space="0" w:color="auto"/>
            </w:tcBorders>
            <w:vAlign w:val="center"/>
          </w:tcPr>
          <w:p w14:paraId="4CFCA08A" w14:textId="2221995E" w:rsidR="00B34348" w:rsidRPr="00B34348" w:rsidRDefault="00B34348" w:rsidP="004C79A2">
            <w:pPr>
              <w:pStyle w:val="MDPI42tablebody"/>
              <w:jc w:val="both"/>
            </w:pPr>
            <w:r w:rsidRPr="00B34348">
              <w:t>Newly identified baseline association; ZUMA-1 post-treatment findings are not equivalent.</w:t>
            </w:r>
          </w:p>
        </w:tc>
      </w:tr>
      <w:tr w:rsidR="00B34348" w:rsidRPr="006F77DA" w14:paraId="18FD8A77" w14:textId="77777777" w:rsidTr="00B34348">
        <w:trPr>
          <w:jc w:val="center"/>
        </w:trPr>
        <w:tc>
          <w:tcPr>
            <w:tcW w:w="3119" w:type="dxa"/>
            <w:tcBorders>
              <w:top w:val="single" w:sz="4" w:space="0" w:color="auto"/>
              <w:bottom w:val="single" w:sz="4" w:space="0" w:color="auto"/>
            </w:tcBorders>
            <w:vAlign w:val="center"/>
          </w:tcPr>
          <w:p w14:paraId="49BCD860" w14:textId="2740C3B6" w:rsidR="00B34348" w:rsidRPr="00B34348" w:rsidRDefault="00B34348" w:rsidP="00F55DD4">
            <w:pPr>
              <w:pStyle w:val="MDPI42tablebody"/>
            </w:pPr>
            <w:r w:rsidRPr="00B34348">
              <w:t>Interferon-responsive state</w:t>
            </w:r>
          </w:p>
        </w:tc>
        <w:tc>
          <w:tcPr>
            <w:tcW w:w="2268" w:type="dxa"/>
            <w:tcBorders>
              <w:top w:val="single" w:sz="4" w:space="0" w:color="auto"/>
              <w:bottom w:val="single" w:sz="4" w:space="0" w:color="auto"/>
            </w:tcBorders>
            <w:vAlign w:val="center"/>
          </w:tcPr>
          <w:p w14:paraId="6CC5B6E2" w14:textId="7D30053A" w:rsidR="00B34348" w:rsidRPr="00B34348" w:rsidRDefault="00B34348" w:rsidP="00F55DD4">
            <w:pPr>
              <w:pStyle w:val="MDPI42tablebody"/>
            </w:pPr>
            <w:r w:rsidRPr="00B34348">
              <w:t>*</w:t>
            </w:r>
            <w:r w:rsidRPr="001A6E76">
              <w:rPr>
                <w:i/>
                <w:iCs/>
              </w:rPr>
              <w:t>IFI27</w:t>
            </w:r>
          </w:p>
        </w:tc>
        <w:tc>
          <w:tcPr>
            <w:tcW w:w="4111" w:type="dxa"/>
            <w:tcBorders>
              <w:top w:val="single" w:sz="4" w:space="0" w:color="auto"/>
              <w:bottom w:val="single" w:sz="4" w:space="0" w:color="auto"/>
            </w:tcBorders>
            <w:vAlign w:val="center"/>
          </w:tcPr>
          <w:p w14:paraId="7805FE66" w14:textId="3A305BED" w:rsidR="00B34348" w:rsidRPr="00B34348" w:rsidRDefault="00B34348" w:rsidP="004C79A2">
            <w:pPr>
              <w:pStyle w:val="MDPI42tablebody"/>
              <w:jc w:val="both"/>
            </w:pPr>
            <w:r w:rsidRPr="00B34348">
              <w:t>Newly identified baseline prognostic association; ZUMA-1 provides only post-treatment interferon-response context.</w:t>
            </w:r>
          </w:p>
        </w:tc>
      </w:tr>
      <w:tr w:rsidR="00B34348" w:rsidRPr="006F77DA" w14:paraId="3A09AD63" w14:textId="77777777" w:rsidTr="00B34348">
        <w:trPr>
          <w:jc w:val="center"/>
        </w:trPr>
        <w:tc>
          <w:tcPr>
            <w:tcW w:w="3119" w:type="dxa"/>
            <w:tcBorders>
              <w:top w:val="single" w:sz="4" w:space="0" w:color="auto"/>
              <w:bottom w:val="single" w:sz="4" w:space="0" w:color="auto"/>
            </w:tcBorders>
            <w:vAlign w:val="center"/>
          </w:tcPr>
          <w:p w14:paraId="73D98111" w14:textId="0C9DED53" w:rsidR="00B34348" w:rsidRPr="00B34348" w:rsidRDefault="00B34348" w:rsidP="00F55DD4">
            <w:pPr>
              <w:pStyle w:val="MDPI42tablebody"/>
            </w:pPr>
            <w:r w:rsidRPr="00B34348">
              <w:t>Immune phenotype</w:t>
            </w:r>
          </w:p>
        </w:tc>
        <w:tc>
          <w:tcPr>
            <w:tcW w:w="2268" w:type="dxa"/>
            <w:tcBorders>
              <w:top w:val="single" w:sz="4" w:space="0" w:color="auto"/>
              <w:bottom w:val="single" w:sz="4" w:space="0" w:color="auto"/>
            </w:tcBorders>
            <w:vAlign w:val="center"/>
          </w:tcPr>
          <w:p w14:paraId="7A3967BA" w14:textId="6D6DE8CE" w:rsidR="00B34348" w:rsidRPr="00B34348" w:rsidRDefault="00B34348" w:rsidP="00F55DD4">
            <w:pPr>
              <w:pStyle w:val="MDPI42tablebody"/>
            </w:pPr>
            <w:r w:rsidRPr="001A6E76">
              <w:rPr>
                <w:i/>
                <w:iCs/>
              </w:rPr>
              <w:t>CD45RA</w:t>
            </w:r>
          </w:p>
        </w:tc>
        <w:tc>
          <w:tcPr>
            <w:tcW w:w="4111" w:type="dxa"/>
            <w:tcBorders>
              <w:top w:val="single" w:sz="4" w:space="0" w:color="auto"/>
              <w:bottom w:val="single" w:sz="4" w:space="0" w:color="auto"/>
            </w:tcBorders>
            <w:vAlign w:val="center"/>
          </w:tcPr>
          <w:p w14:paraId="074D42D6" w14:textId="6CAAFEDC" w:rsidR="00B34348" w:rsidRPr="00B34348" w:rsidRDefault="00B34348" w:rsidP="004C79A2">
            <w:pPr>
              <w:pStyle w:val="MDPI42tablebody"/>
              <w:jc w:val="both"/>
            </w:pPr>
            <w:r w:rsidRPr="00B34348">
              <w:t>Cohort-specific baseline TME association. Note: Represents a different biological compartment from ZUMA-7, which evaluated CD45RA specifically within the infused CAR-T cell product.</w:t>
            </w:r>
          </w:p>
        </w:tc>
      </w:tr>
      <w:tr w:rsidR="00B34348" w:rsidRPr="006F77DA" w14:paraId="7AA8DBFE" w14:textId="77777777" w:rsidTr="00B34348">
        <w:trPr>
          <w:jc w:val="center"/>
        </w:trPr>
        <w:tc>
          <w:tcPr>
            <w:tcW w:w="3119" w:type="dxa"/>
            <w:tcBorders>
              <w:top w:val="single" w:sz="4" w:space="0" w:color="auto"/>
              <w:bottom w:val="single" w:sz="4" w:space="0" w:color="auto"/>
            </w:tcBorders>
            <w:vAlign w:val="center"/>
          </w:tcPr>
          <w:p w14:paraId="5FBBB7EB" w14:textId="2A2A67EA" w:rsidR="00B34348" w:rsidRPr="00B34348" w:rsidRDefault="00B34348" w:rsidP="00F55DD4">
            <w:pPr>
              <w:pStyle w:val="MDPI42tablebody"/>
            </w:pPr>
            <w:r w:rsidRPr="00B34348">
              <w:t>Intrinsic Resistance</w:t>
            </w:r>
          </w:p>
        </w:tc>
        <w:tc>
          <w:tcPr>
            <w:tcW w:w="2268" w:type="dxa"/>
            <w:tcBorders>
              <w:top w:val="single" w:sz="4" w:space="0" w:color="auto"/>
              <w:bottom w:val="single" w:sz="4" w:space="0" w:color="auto"/>
            </w:tcBorders>
            <w:vAlign w:val="center"/>
          </w:tcPr>
          <w:p w14:paraId="3F8B980D" w14:textId="3CA08430" w:rsidR="00B34348" w:rsidRPr="00B34348" w:rsidRDefault="00B34348" w:rsidP="00F55DD4">
            <w:pPr>
              <w:pStyle w:val="MDPI42tablebody"/>
            </w:pPr>
            <w:r w:rsidRPr="00B34348">
              <w:t>*</w:t>
            </w:r>
            <w:r w:rsidRPr="001A6E76">
              <w:rPr>
                <w:i/>
                <w:iCs/>
              </w:rPr>
              <w:t>DUSP</w:t>
            </w:r>
            <w:r w:rsidRPr="001A6E76">
              <w:rPr>
                <w:i/>
                <w:iCs/>
              </w:rPr>
              <w:t>5</w:t>
            </w:r>
          </w:p>
        </w:tc>
        <w:tc>
          <w:tcPr>
            <w:tcW w:w="4111" w:type="dxa"/>
            <w:tcBorders>
              <w:top w:val="single" w:sz="4" w:space="0" w:color="auto"/>
              <w:bottom w:val="single" w:sz="4" w:space="0" w:color="auto"/>
            </w:tcBorders>
            <w:vAlign w:val="center"/>
          </w:tcPr>
          <w:p w14:paraId="6954F0DA" w14:textId="024D5CDE" w:rsidR="00B34348" w:rsidRPr="00B34348" w:rsidRDefault="00B34348" w:rsidP="004C79A2">
            <w:pPr>
              <w:pStyle w:val="MDPI42tablebody"/>
              <w:jc w:val="both"/>
            </w:pPr>
            <w:r w:rsidRPr="00B34348">
              <w:t>Newly identified gene-level baseline association.</w:t>
            </w:r>
          </w:p>
        </w:tc>
      </w:tr>
      <w:tr w:rsidR="00B34348" w:rsidRPr="006F77DA" w14:paraId="4B25C937" w14:textId="77777777" w:rsidTr="00B34348">
        <w:trPr>
          <w:jc w:val="center"/>
        </w:trPr>
        <w:tc>
          <w:tcPr>
            <w:tcW w:w="3119" w:type="dxa"/>
            <w:tcBorders>
              <w:top w:val="single" w:sz="4" w:space="0" w:color="auto"/>
              <w:bottom w:val="single" w:sz="4" w:space="0" w:color="auto"/>
            </w:tcBorders>
            <w:vAlign w:val="center"/>
          </w:tcPr>
          <w:p w14:paraId="51C8F435" w14:textId="14420433" w:rsidR="00B34348" w:rsidRPr="00B34348" w:rsidRDefault="00B34348" w:rsidP="00F55DD4">
            <w:pPr>
              <w:pStyle w:val="MDPI42tablebody"/>
            </w:pPr>
            <w:r w:rsidRPr="00B34348">
              <w:t>Adhesion / EMT-like remodeling / Intrinsic Resistance</w:t>
            </w:r>
          </w:p>
        </w:tc>
        <w:tc>
          <w:tcPr>
            <w:tcW w:w="2268" w:type="dxa"/>
            <w:tcBorders>
              <w:top w:val="single" w:sz="4" w:space="0" w:color="auto"/>
              <w:bottom w:val="single" w:sz="4" w:space="0" w:color="auto"/>
            </w:tcBorders>
            <w:vAlign w:val="center"/>
          </w:tcPr>
          <w:p w14:paraId="254D67E7" w14:textId="68584134" w:rsidR="00B34348" w:rsidRPr="00B34348" w:rsidRDefault="00B34348" w:rsidP="00F55DD4">
            <w:pPr>
              <w:pStyle w:val="MDPI42tablebody"/>
            </w:pPr>
            <w:r w:rsidRPr="00B34348">
              <w:t>*</w:t>
            </w:r>
            <w:r w:rsidRPr="001A6E76">
              <w:rPr>
                <w:i/>
                <w:iCs/>
              </w:rPr>
              <w:t>CDH2</w:t>
            </w:r>
          </w:p>
        </w:tc>
        <w:tc>
          <w:tcPr>
            <w:tcW w:w="4111" w:type="dxa"/>
            <w:tcBorders>
              <w:top w:val="single" w:sz="4" w:space="0" w:color="auto"/>
              <w:bottom w:val="single" w:sz="4" w:space="0" w:color="auto"/>
            </w:tcBorders>
            <w:vAlign w:val="center"/>
          </w:tcPr>
          <w:p w14:paraId="2597C9CF" w14:textId="34BCFC79" w:rsidR="00B34348" w:rsidRPr="00B34348" w:rsidRDefault="00B34348" w:rsidP="004C79A2">
            <w:pPr>
              <w:pStyle w:val="MDPI42tablebody"/>
              <w:jc w:val="both"/>
            </w:pPr>
            <w:r w:rsidRPr="00B34348">
              <w:t xml:space="preserve">Newly identified gene-level baseline </w:t>
            </w:r>
            <w:proofErr w:type="spellStart"/>
            <w:r w:rsidRPr="00B34348">
              <w:t>associa-tion</w:t>
            </w:r>
            <w:proofErr w:type="spellEnd"/>
            <w:r w:rsidRPr="00B34348">
              <w:t>.</w:t>
            </w:r>
          </w:p>
        </w:tc>
      </w:tr>
      <w:tr w:rsidR="00B34348" w:rsidRPr="006F77DA" w14:paraId="5D744DA6" w14:textId="77777777" w:rsidTr="00310573">
        <w:trPr>
          <w:jc w:val="center"/>
        </w:trPr>
        <w:tc>
          <w:tcPr>
            <w:tcW w:w="3119" w:type="dxa"/>
            <w:tcBorders>
              <w:top w:val="single" w:sz="4" w:space="0" w:color="auto"/>
              <w:bottom w:val="single" w:sz="8" w:space="0" w:color="auto"/>
            </w:tcBorders>
            <w:vAlign w:val="center"/>
          </w:tcPr>
          <w:p w14:paraId="61A08384" w14:textId="4113A768" w:rsidR="00B34348" w:rsidRPr="00B34348" w:rsidRDefault="00B34348" w:rsidP="00F55DD4">
            <w:pPr>
              <w:pStyle w:val="MDPI42tablebody"/>
            </w:pPr>
            <w:r w:rsidRPr="00B34348">
              <w:t>Intrinsic Resistance</w:t>
            </w:r>
          </w:p>
        </w:tc>
        <w:tc>
          <w:tcPr>
            <w:tcW w:w="2268" w:type="dxa"/>
            <w:tcBorders>
              <w:top w:val="single" w:sz="4" w:space="0" w:color="auto"/>
              <w:bottom w:val="single" w:sz="8" w:space="0" w:color="auto"/>
            </w:tcBorders>
            <w:vAlign w:val="center"/>
          </w:tcPr>
          <w:p w14:paraId="65E25291" w14:textId="6054389E" w:rsidR="00B34348" w:rsidRPr="00B34348" w:rsidRDefault="00B34348" w:rsidP="00F55DD4">
            <w:pPr>
              <w:pStyle w:val="MDPI42tablebody"/>
            </w:pPr>
            <w:r w:rsidRPr="001A6E76">
              <w:rPr>
                <w:i/>
                <w:iCs/>
              </w:rPr>
              <w:t>WNT11</w:t>
            </w:r>
          </w:p>
        </w:tc>
        <w:tc>
          <w:tcPr>
            <w:tcW w:w="4111" w:type="dxa"/>
            <w:tcBorders>
              <w:top w:val="single" w:sz="4" w:space="0" w:color="auto"/>
              <w:bottom w:val="single" w:sz="8" w:space="0" w:color="auto"/>
            </w:tcBorders>
            <w:vAlign w:val="center"/>
          </w:tcPr>
          <w:p w14:paraId="368668EE" w14:textId="06047CAE" w:rsidR="00B34348" w:rsidRPr="00B34348" w:rsidRDefault="00B34348" w:rsidP="004C79A2">
            <w:pPr>
              <w:pStyle w:val="MDPI42tablebody"/>
              <w:jc w:val="both"/>
            </w:pPr>
            <w:r w:rsidRPr="00B34348">
              <w:t xml:space="preserve">Newly identified gene-level baseline association; </w:t>
            </w:r>
            <w:proofErr w:type="gramStart"/>
            <w:r w:rsidRPr="00B34348">
              <w:t>also</w:t>
            </w:r>
            <w:proofErr w:type="gramEnd"/>
            <w:r w:rsidRPr="00B34348">
              <w:t xml:space="preserve"> potentially pan-prognostic based on independent TCGA cross-cohort analysis.</w:t>
            </w:r>
          </w:p>
        </w:tc>
      </w:tr>
    </w:tbl>
    <w:p w14:paraId="7D654E81" w14:textId="77777777" w:rsidR="00B34348" w:rsidRDefault="00B34348" w:rsidP="00B34348">
      <w:pPr>
        <w:pStyle w:val="MDPI43tablefooter"/>
      </w:pPr>
      <w:r>
        <w:t>Notes. Because the present analyses reuse data from ZUMA-1 and ZUMA-7, this comparison does not constitute independent validation. Instead, it distinguishes direct concordance with previously published gene-level findings from contextual support involving composite signatures, different biological compartments, or post-treatment changes, and highlights newly identified associations from the present reanalysis. ZUMA-1 findings referenced here include post-infusion analyses; such post-treatment changes represent pharmacodynamic observations and do not necessarily establish baseline predictive value. Some ZUMA-7 associations were originally reported as gene clusters or cellular signatures rather than as individual gene-level effects.</w:t>
      </w:r>
    </w:p>
    <w:p w14:paraId="3558683B" w14:textId="7EFE4C91" w:rsidR="00B34348" w:rsidRDefault="00B34348" w:rsidP="00B34348">
      <w:pPr>
        <w:pStyle w:val="MDPI43tablefooter"/>
      </w:pPr>
      <w:r>
        <w:t>*Candidate gene-level associations not specifically evaluated or highlighted in the original publications.</w:t>
      </w:r>
    </w:p>
    <w:p w14:paraId="3AC98970" w14:textId="1BA3789A" w:rsidR="00B34348" w:rsidRPr="006F77DA" w:rsidRDefault="00B34348" w:rsidP="00B34348">
      <w:pPr>
        <w:pStyle w:val="MDPI43tablefooter"/>
      </w:pPr>
      <w:r>
        <w:t>Abbreviations: CAR-T: Chimeric Antigen Receptor T-cell; EMT-like: Epithelial-Mesenchymal Transition-like; NK: Natural Killer; TCGA: The Cancer Genome Atlas; TME: Tumor Microenvironment.</w:t>
      </w:r>
    </w:p>
    <w:p w14:paraId="7F299ACB" w14:textId="77777777" w:rsidR="004C79A2" w:rsidRDefault="004C79A2" w:rsidP="004C79A2">
      <w:pPr>
        <w:pStyle w:val="MDPI31text"/>
        <w:ind w:left="0" w:firstLine="0"/>
      </w:pPr>
    </w:p>
    <w:p w14:paraId="0EE9837C" w14:textId="09A24CB0" w:rsidR="00F02E84" w:rsidRDefault="00B34348" w:rsidP="000852E9">
      <w:pPr>
        <w:pStyle w:val="MDPI31text"/>
      </w:pPr>
      <w:r w:rsidRPr="00B34348">
        <w:lastRenderedPageBreak/>
        <w:t xml:space="preserve">Concordance was more variable for immune and microenvironmental markers. </w:t>
      </w:r>
      <w:r w:rsidRPr="001A6E76">
        <w:rPr>
          <w:i/>
          <w:iCs/>
        </w:rPr>
        <w:t>CCL20</w:t>
      </w:r>
      <w:r w:rsidRPr="00B34348">
        <w:t xml:space="preserve"> showed the most consistent adverse association across analyses. In contrast, </w:t>
      </w:r>
      <w:r w:rsidRPr="001A6E76">
        <w:rPr>
          <w:i/>
          <w:iCs/>
        </w:rPr>
        <w:t>HLA-DOB</w:t>
      </w:r>
      <w:r w:rsidRPr="00B34348">
        <w:t xml:space="preserve"> displayed different baseline patterns between cohorts, while the findings for </w:t>
      </w:r>
      <w:r w:rsidRPr="001A6E76">
        <w:rPr>
          <w:i/>
          <w:iCs/>
        </w:rPr>
        <w:t>BTLA</w:t>
      </w:r>
      <w:r w:rsidRPr="00B34348">
        <w:t xml:space="preserve">, </w:t>
      </w:r>
      <w:r w:rsidRPr="001A6E76">
        <w:rPr>
          <w:i/>
          <w:iCs/>
        </w:rPr>
        <w:t>KLRD1</w:t>
      </w:r>
      <w:r w:rsidRPr="00B34348">
        <w:t xml:space="preserve">, </w:t>
      </w:r>
      <w:r w:rsidRPr="001A6E76">
        <w:rPr>
          <w:i/>
          <w:iCs/>
        </w:rPr>
        <w:t>IFI27</w:t>
      </w:r>
      <w:r w:rsidRPr="00B34348">
        <w:t xml:space="preserve">, </w:t>
      </w:r>
      <w:r w:rsidRPr="001A6E76">
        <w:rPr>
          <w:i/>
          <w:iCs/>
        </w:rPr>
        <w:t>NCAM1</w:t>
      </w:r>
      <w:r w:rsidRPr="00B34348">
        <w:t xml:space="preserve">, and </w:t>
      </w:r>
      <w:r w:rsidRPr="001A6E76">
        <w:rPr>
          <w:i/>
          <w:iCs/>
        </w:rPr>
        <w:t>CD45RA</w:t>
      </w:r>
      <w:r w:rsidRPr="00B34348">
        <w:t xml:space="preserve"> were indirect, time-point dependent, or derived from different biological compartments. These markers should therefore be classified as partially concordant or inconclusive rather than confirmed (Table 1).</w:t>
      </w:r>
    </w:p>
    <w:p w14:paraId="34EA11FF" w14:textId="5B1417F4" w:rsidR="00B34348" w:rsidRDefault="00B34348" w:rsidP="000852E9">
      <w:pPr>
        <w:pStyle w:val="MDPI31text"/>
      </w:pPr>
      <w:r w:rsidRPr="001A6E76">
        <w:rPr>
          <w:i/>
          <w:iCs/>
        </w:rPr>
        <w:t>DUSP5</w:t>
      </w:r>
      <w:r w:rsidRPr="00B34348">
        <w:t xml:space="preserve">, </w:t>
      </w:r>
      <w:r w:rsidRPr="001A6E76">
        <w:rPr>
          <w:i/>
          <w:iCs/>
        </w:rPr>
        <w:t>CDH2</w:t>
      </w:r>
      <w:r w:rsidRPr="00B34348">
        <w:t xml:space="preserve">, and </w:t>
      </w:r>
      <w:r w:rsidRPr="001A6E76">
        <w:rPr>
          <w:i/>
          <w:iCs/>
        </w:rPr>
        <w:t>LRRC32</w:t>
      </w:r>
      <w:r w:rsidRPr="00B34348">
        <w:t xml:space="preserve"> were not individually emphasized in the original reports, whereas </w:t>
      </w:r>
      <w:r w:rsidRPr="001A6E76">
        <w:rPr>
          <w:i/>
          <w:iCs/>
        </w:rPr>
        <w:t>WNT11</w:t>
      </w:r>
      <w:r w:rsidRPr="00B34348">
        <w:t xml:space="preserve"> was previously represented within broader transcriptional analyses. Their associations with event-free survival in the current multivariable models extend the original cohort-level observations by identifying candidate gene-level correlates of unfavorable outcome. Collectively, these findings support the hypothesis that cellular plasticity, adhesion, and EMT-like tissue-remodeling programs contribute to </w:t>
      </w:r>
      <w:proofErr w:type="spellStart"/>
      <w:r w:rsidRPr="00B34348">
        <w:t>axi</w:t>
      </w:r>
      <w:proofErr w:type="spellEnd"/>
      <w:r w:rsidRPr="00B34348">
        <w:t>-cel resistance. Independent cohorts and functional studies are required to determine whether these genes are reproducible predictive biomarkers or causal mediators of therapeutic failure.</w:t>
      </w:r>
    </w:p>
    <w:p w14:paraId="74BCC5DB" w14:textId="77777777" w:rsidR="00C7205A" w:rsidRDefault="00C7205A" w:rsidP="000852E9">
      <w:pPr>
        <w:pStyle w:val="MDPI31text"/>
      </w:pPr>
    </w:p>
    <w:p w14:paraId="477B8D8D" w14:textId="64873B2A" w:rsidR="00B34348" w:rsidRPr="006F77DA" w:rsidRDefault="00B34348" w:rsidP="00B34348">
      <w:pPr>
        <w:pStyle w:val="MDPI22heading2"/>
        <w:spacing w:before="240"/>
        <w:rPr>
          <w:noProof w:val="0"/>
        </w:rPr>
      </w:pPr>
      <w:r w:rsidRPr="00B34348">
        <w:rPr>
          <w:noProof w:val="0"/>
        </w:rPr>
        <w:t>3.7 Integrated Model of Transcriptional States Associated with CAR T-Cell Response</w:t>
      </w:r>
    </w:p>
    <w:p w14:paraId="7D544254" w14:textId="243729AE" w:rsidR="00B34348" w:rsidRDefault="00B34348" w:rsidP="00B34348">
      <w:pPr>
        <w:pStyle w:val="MDPI31text"/>
      </w:pPr>
      <w:r w:rsidRPr="00B34348">
        <w:t xml:space="preserve">To integrate the transcriptomic and clinical associations identified in this study, we developed a conceptual model summarizing the biological states associated with response or resistance to </w:t>
      </w:r>
      <w:proofErr w:type="spellStart"/>
      <w:r w:rsidRPr="00B34348">
        <w:t>axi</w:t>
      </w:r>
      <w:proofErr w:type="spellEnd"/>
      <w:r w:rsidRPr="00B34348">
        <w:t>-cel (Figure 6).</w:t>
      </w:r>
    </w:p>
    <w:p w14:paraId="0FD6EF2A" w14:textId="77777777" w:rsidR="00B34348" w:rsidRDefault="00B34348" w:rsidP="00B34348">
      <w:pPr>
        <w:pStyle w:val="MDPI31text"/>
      </w:pPr>
    </w:p>
    <w:p w14:paraId="0FCB8C6F" w14:textId="0575759C" w:rsidR="00B34348" w:rsidRPr="006F77DA" w:rsidRDefault="00B34348" w:rsidP="00B34348">
      <w:pPr>
        <w:pStyle w:val="MDPI52figure"/>
        <w:ind w:left="2608"/>
        <w:jc w:val="left"/>
        <w:rPr>
          <w:b/>
        </w:rPr>
      </w:pPr>
      <w:r>
        <w:rPr>
          <w:rFonts w:ascii="Times New Roman" w:hAnsi="Times New Roman"/>
          <w:b/>
          <w:bCs/>
          <w:noProof/>
        </w:rPr>
        <w:drawing>
          <wp:inline distT="0" distB="0" distL="0" distR="0" wp14:anchorId="062DA350" wp14:editId="42970CE9">
            <wp:extent cx="4913244" cy="4133850"/>
            <wp:effectExtent l="0" t="0" r="1905" b="0"/>
            <wp:docPr id="6708153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15389" name="Imagem 67081538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8893" cy="4138603"/>
                    </a:xfrm>
                    <a:prstGeom prst="rect">
                      <a:avLst/>
                    </a:prstGeom>
                  </pic:spPr>
                </pic:pic>
              </a:graphicData>
            </a:graphic>
          </wp:inline>
        </w:drawing>
      </w:r>
    </w:p>
    <w:p w14:paraId="0ED740DD" w14:textId="7380C120" w:rsidR="00B34348" w:rsidRPr="006F77DA" w:rsidRDefault="00B34348" w:rsidP="00B34348">
      <w:pPr>
        <w:pStyle w:val="MDPI51figurecaption"/>
      </w:pPr>
      <w:r w:rsidRPr="006F77DA">
        <w:rPr>
          <w:b/>
        </w:rPr>
        <w:t xml:space="preserve">Figure 1. </w:t>
      </w:r>
      <w:r w:rsidR="00CB06A2" w:rsidRPr="00CB06A2">
        <w:t xml:space="preserve">Integrated model of transcriptional states associated with sensitivity and resistance to anti-CD19 CAR T-cell therapy. This model summarizes the tumor-intrinsic and microenvironmental features identified through cross-cohort analyses of the ZUMA-1 and ZUMA-7 datasets. The upper panel (red; therapeutic failure/resistance) depicts an adverse transcriptional state characterized by </w:t>
      </w:r>
      <w:r w:rsidR="00CB06A2" w:rsidRPr="00CB06A2">
        <w:lastRenderedPageBreak/>
        <w:t>reduced B-cell lineage identity and increased expression of markers associated with cellular plasticity, aberrant adhesion, tissue remodeling, alternative chemotactic signaling, and immune dysfunction. The lower panel (blue; therapeutic sensitivity) depicts a favorable state associated with preservation of B-cell lineage identity and expression of protective markers linked to lymphoid differentiation and immune competence. Arrows represent proposed biological relationships derived from transcriptomic associations and should not be interpreted as demonstrating direct causal mechanisms. CR, complete response; EMT-like, epithelial–mesenchymal transition-like program.</w:t>
      </w:r>
      <w:r w:rsidR="00CB06A2">
        <w:t xml:space="preserve"> Notes: </w:t>
      </w:r>
      <w:r w:rsidR="00CB06A2" w:rsidRPr="00CB06A2">
        <w:t>Conceptual model based on transcriptomic associations; arrows indicate proposed, not experimentally demonstrated, relationships.</w:t>
      </w:r>
    </w:p>
    <w:p w14:paraId="7AB5BB3F" w14:textId="58689CD5" w:rsidR="00B34348" w:rsidRDefault="00CB06A2" w:rsidP="00B34348">
      <w:pPr>
        <w:pStyle w:val="MDPI31text"/>
      </w:pPr>
      <w:r w:rsidRPr="00CB06A2">
        <w:t xml:space="preserve">Within the therapeutic-failure axis (Figure 6, top panel), reduced B-cell lineage identity occurs alongside adverse transcriptional features involving </w:t>
      </w:r>
      <w:r w:rsidRPr="001A6E76">
        <w:rPr>
          <w:i/>
          <w:iCs/>
        </w:rPr>
        <w:t>DUSP5</w:t>
      </w:r>
      <w:r w:rsidRPr="00CB06A2">
        <w:t xml:space="preserve">, </w:t>
      </w:r>
      <w:r w:rsidRPr="001A6E76">
        <w:rPr>
          <w:i/>
          <w:iCs/>
        </w:rPr>
        <w:t>WNT11</w:t>
      </w:r>
      <w:r w:rsidRPr="00CB06A2">
        <w:t xml:space="preserve">, </w:t>
      </w:r>
      <w:r w:rsidRPr="001A6E76">
        <w:rPr>
          <w:i/>
          <w:iCs/>
        </w:rPr>
        <w:t>CCL20</w:t>
      </w:r>
      <w:r w:rsidRPr="00CB06A2">
        <w:t xml:space="preserve">, </w:t>
      </w:r>
      <w:r w:rsidRPr="001A6E76">
        <w:rPr>
          <w:i/>
          <w:iCs/>
        </w:rPr>
        <w:t>CDH2</w:t>
      </w:r>
      <w:r w:rsidRPr="00CB06A2">
        <w:t xml:space="preserve">, </w:t>
      </w:r>
      <w:r w:rsidRPr="001A6E76">
        <w:rPr>
          <w:i/>
          <w:iCs/>
        </w:rPr>
        <w:t>NCAM1</w:t>
      </w:r>
      <w:r w:rsidRPr="00CB06A2">
        <w:t xml:space="preserve">, </w:t>
      </w:r>
      <w:r w:rsidRPr="001A6E76">
        <w:rPr>
          <w:i/>
          <w:iCs/>
        </w:rPr>
        <w:t>LRRC32</w:t>
      </w:r>
      <w:r w:rsidRPr="00CB06A2">
        <w:t xml:space="preserve">, </w:t>
      </w:r>
      <w:r w:rsidRPr="001A6E76">
        <w:rPr>
          <w:i/>
          <w:iCs/>
        </w:rPr>
        <w:t>KLRD1</w:t>
      </w:r>
      <w:r w:rsidRPr="00CB06A2">
        <w:t xml:space="preserve">, and </w:t>
      </w:r>
      <w:r w:rsidRPr="001A6E76">
        <w:rPr>
          <w:i/>
          <w:iCs/>
        </w:rPr>
        <w:t>IFI27</w:t>
      </w:r>
      <w:r w:rsidRPr="00CB06A2">
        <w:t>. Collectively, these findings support a candidate resistance state involving tumor-cell plasticity, altered cell–cell and cell–matrix interactions, EMT-like tissue remodeling, alternative chemotactic signaling, and immune dysfunction. These processes may impair tumor susceptibility to CAR T-cell-mediated cytotoxicity, even when CD19 expression remains detectable.</w:t>
      </w:r>
    </w:p>
    <w:p w14:paraId="09370D3D" w14:textId="3D1CBC20" w:rsidR="00CB06A2" w:rsidRDefault="00CB06A2" w:rsidP="00B34348">
      <w:pPr>
        <w:pStyle w:val="MDPI31text"/>
      </w:pPr>
      <w:r w:rsidRPr="00CB06A2">
        <w:t xml:space="preserve">Conversely, the therapeutic-sensitivity axis (Figure 6, lower panel), is characterized by preservation of the mature B-cell program, including </w:t>
      </w:r>
      <w:r w:rsidRPr="001A6E76">
        <w:rPr>
          <w:i/>
          <w:iCs/>
        </w:rPr>
        <w:t>CD19</w:t>
      </w:r>
      <w:r w:rsidRPr="00CB06A2">
        <w:t xml:space="preserve">, </w:t>
      </w:r>
      <w:r w:rsidRPr="001A6E76">
        <w:rPr>
          <w:i/>
          <w:iCs/>
        </w:rPr>
        <w:t>MS4A1</w:t>
      </w:r>
      <w:r w:rsidRPr="00CB06A2">
        <w:t xml:space="preserve">, </w:t>
      </w:r>
      <w:r w:rsidRPr="001A6E76">
        <w:rPr>
          <w:i/>
          <w:iCs/>
        </w:rPr>
        <w:t>TNFRSF17</w:t>
      </w:r>
      <w:r w:rsidRPr="00CB06A2">
        <w:t xml:space="preserve">, and </w:t>
      </w:r>
      <w:r w:rsidRPr="001A6E76">
        <w:rPr>
          <w:i/>
          <w:iCs/>
        </w:rPr>
        <w:t>IRF8</w:t>
      </w:r>
      <w:r w:rsidRPr="00CB06A2">
        <w:t xml:space="preserve">, together with favorable associations involving </w:t>
      </w:r>
      <w:r w:rsidRPr="001A6E76">
        <w:rPr>
          <w:i/>
          <w:iCs/>
        </w:rPr>
        <w:t>LY9</w:t>
      </w:r>
      <w:r w:rsidRPr="00CB06A2">
        <w:t xml:space="preserve">, </w:t>
      </w:r>
      <w:r w:rsidRPr="001A6E76">
        <w:rPr>
          <w:i/>
          <w:iCs/>
        </w:rPr>
        <w:t>BTLA</w:t>
      </w:r>
      <w:r w:rsidRPr="00CB06A2">
        <w:t xml:space="preserve">, </w:t>
      </w:r>
      <w:r w:rsidRPr="001A6E76">
        <w:rPr>
          <w:i/>
          <w:iCs/>
        </w:rPr>
        <w:t>CD45RA</w:t>
      </w:r>
      <w:r w:rsidRPr="00CB06A2">
        <w:t xml:space="preserve">, and </w:t>
      </w:r>
      <w:r w:rsidRPr="001A6E76">
        <w:rPr>
          <w:i/>
          <w:iCs/>
        </w:rPr>
        <w:t>HLA-DOB</w:t>
      </w:r>
      <w:r w:rsidRPr="00CB06A2">
        <w:t xml:space="preserve">. Because CAR recognition is HLA-independent, </w:t>
      </w:r>
      <w:r w:rsidRPr="001A6E76">
        <w:rPr>
          <w:i/>
          <w:iCs/>
        </w:rPr>
        <w:t>HLA-DOB</w:t>
      </w:r>
      <w:r w:rsidRPr="00CB06A2">
        <w:t xml:space="preserve"> should be interpreted primarily as a marker of preserved B-cell differentiation or broader immune competence rather than as evidence that conventional antigen presentation is required for </w:t>
      </w:r>
      <w:proofErr w:type="spellStart"/>
      <w:r w:rsidRPr="00CB06A2">
        <w:t>axi</w:t>
      </w:r>
      <w:proofErr w:type="spellEnd"/>
      <w:r w:rsidRPr="00CB06A2">
        <w:t>-cel activity.</w:t>
      </w:r>
    </w:p>
    <w:p w14:paraId="61CF2CE0" w14:textId="1034FD45" w:rsidR="00C7205A" w:rsidRDefault="00CB06A2" w:rsidP="00CB06A2">
      <w:pPr>
        <w:pStyle w:val="MDPI31text"/>
      </w:pPr>
      <w:r w:rsidRPr="00CB06A2">
        <w:t xml:space="preserve">Overall, the model shifts the emphasis from isolated </w:t>
      </w:r>
      <w:r w:rsidRPr="001A6E76">
        <w:rPr>
          <w:i/>
          <w:iCs/>
        </w:rPr>
        <w:t>CD19</w:t>
      </w:r>
      <w:r w:rsidRPr="00CB06A2">
        <w:t xml:space="preserve"> expression and baseline immune exhaustion toward a broader balance between preservation of B-cell lineage identity and acquisition of immune-dysfunctional, plastic, and tissue-remodeling transcriptional states. This framework is hypothesis-generating and highlights candidate pathways for functional and prospective validation.</w:t>
      </w:r>
    </w:p>
    <w:p w14:paraId="57CDC5E8" w14:textId="77777777" w:rsidR="00F443F6" w:rsidRPr="006F77DA" w:rsidRDefault="00F443F6" w:rsidP="000852E9">
      <w:pPr>
        <w:pStyle w:val="MDPI21heading1"/>
      </w:pPr>
      <w:r w:rsidRPr="006F77DA">
        <w:t>4. Discussion</w:t>
      </w:r>
    </w:p>
    <w:p w14:paraId="5DA57DB3" w14:textId="0E9AE186" w:rsidR="00CB06A2" w:rsidRDefault="00CB06A2" w:rsidP="000852E9">
      <w:pPr>
        <w:pStyle w:val="MDPI31text"/>
      </w:pPr>
      <w:r w:rsidRPr="00CB06A2">
        <w:t xml:space="preserve">This integrative analysis identifies baseline tumor cell state, rather than </w:t>
      </w:r>
      <w:r w:rsidRPr="001A6E76">
        <w:rPr>
          <w:i/>
          <w:iCs/>
        </w:rPr>
        <w:t>CD19</w:t>
      </w:r>
      <w:r w:rsidRPr="00CB06A2">
        <w:t xml:space="preserve"> expression considered in isolation, as a central correlate of response to </w:t>
      </w:r>
      <w:proofErr w:type="spellStart"/>
      <w:r w:rsidRPr="00CB06A2">
        <w:t>axi</w:t>
      </w:r>
      <w:proofErr w:type="spellEnd"/>
      <w:r w:rsidRPr="00CB06A2">
        <w:t xml:space="preserve">-cel in DLBCL. Although loss of </w:t>
      </w:r>
      <w:r w:rsidRPr="00AB3F54">
        <w:rPr>
          <w:i/>
          <w:iCs/>
        </w:rPr>
        <w:t>CD19</w:t>
      </w:r>
      <w:r w:rsidRPr="00CB06A2">
        <w:t xml:space="preserve"> is a recognized mechanism of relapse, it accounts for only a subset of treatment failures, and progression frequently occurs in tumors that retain detectable target expression</w:t>
      </w:r>
      <w:r>
        <w:t xml:space="preserve"> </w:t>
      </w:r>
      <w:r>
        <w:fldChar w:fldCharType="begin"/>
      </w:r>
      <w:r>
        <w:instrText xml:space="preserve"> ADDIN ZOTERO_ITEM CSL_CITATION {"citationID":"7DGpHGmZ","properties":{"unsorted":false,"formattedCitation":"[5,6]","plainCitation":"[5,6]","noteIndex":0},"citationItems":[{"id":636,"uris":["http://zotero.org/users/17472926/items/NYUMZ7XB"],"itemData":{"id":636,"type":"article-journal","abstract":"Background CD19-directed chimeric antigen receptor-reprogrammed autologous T cells are breakthrough immunotherapies for heavily pretreated patients with diffuse large B-cell lymphoma (DLBCL), but across CAR-19 products, ~60% of patients fail to respond or relapse. Inflammatory markers and clinical factors associate with impaired responses, but tumor-intrinsic resistance drivers are largely undefined.Methods To characterize the genomic mechanisms involved resistance to CAR-19, we interrogated whole genome sequencing (WGS) from 28 relapsed/refractory (r/r) aggressive lymphoma patients uniformly treated with axicabtagene ciloleucel (axi-cel).Results Because prognostic factors defined in the frontline treatment setting are largely inapplicable to CAR-19, we leveraged the WGS data, including comparative analyses with untreated DLBCL cases in the Pan-Cancer Analysis of Whole Genomes (PCAWG) (figure 1). In analyses of individual mutated genes, TP53 was significantly enriched (p=0.002) in CAR-19 patients, but did not predict outcome. However, mutations in either NFKBIA or MYC associated with worse PFS after CAR-19 (p=0.04, p=0.025 respectively). We next identified 12 single base substitution (SBS) mutational signatures in our cohort and found presence of APOBEC (SBS2 and SBS13) signatures associated with worse PFS, with 4/5 patients progressing (p=0.03). Copy number analysis by GISTIC2.0 revealed focal deletions of RHOA and RB1 to be significantly enriched in our cohort and independently predicted poor outcome (p=0.0007, p=0.05 respectively). WGS identifies structural variants and complex events. We found chromothripsis, a catastrophic shattering and reassembly of chromosomes, in 39.3% of r/r DLBCL, which was strongly associated with poor CAR-19 outcome, with 9/11 affected cases progressing (p=0.041). Finally, reduced expression (n=3) or genomic alteration (n=3) of CD19 did not associate with poor outcome. One case with durable response contained a sub-clonal CD19 mutation (L174V) previously reported as associated with CAR-19 resistance. These findings demonstrate predominance of CD19-independent resistance and indicate antigen-mediated tumor killing is not the only mechanism of tumor eradication. Genomic complexity appears to promote an immunosuppressive tumor microenvironment (TME), limiting CAR-19 efficacy.Conclusions Leveraging the resolution of WGS, we observed that markers of genomic complexity (chromothripsis and APOBEC) and specific genomic alterations (RHOA and RB1 deletions) associate with resistance to CAR-19 immunotherapy for aggressive B-cell lymphomas (figure 1). 93.8% of CAR-19 relapsed patients contained at least one or these genomic alterations. Recent patient data demonstrate that an immunosuppressed TME leads to CAR-19 failure. Combining these findings with our genomics findings, successful CAR-19 therapy must overcome the immune-exhausted TME to mobilize the host immune system and eliminate the tumor.Abstract 675 Figure 1Genomic alterations associated with disease progression. (a) The heatmap shows the significant genomic alteration present in at least 4 patients associated with progression after CD19 CAR-T cell therapy. (b) Kaplan-Meier curve of progression free survival with the combination of statistically significant genomic anomalies","container-title":"Journal for ImmunoTherapy of Cancer","DOI":"10.1136/jitc-2021-SITC2021.675","ISSN":"2051-1426","issue":"Suppl 2","journalAbbreviation":"J Immunother Cancer","language":"en","license":"No commercial re-use. If you wish to reuse any or all of this article please contact BMJ Publishing Group Ltd.","PMID":"10.1136/jitc-2021-SITC2021.675","publisher":"BMJ Publishing Group Ltd","source":"jitc.bmj.com","title":"675 Genomic drivers of large B-cell lymphoma resistance to CD19 CAR-T therapy","URL":"https://jitc.bmj.com/content/9/Suppl_2/A703","volume":"9","author":[{"family":"Jain","given":"Michael"},{"family":"Ziccheddu","given":"Bachisio"},{"family":"Coughlin","given":"Caroline"},{"family":"Faramand","given":"Rawan"},{"family":"Griswold","given":"Anthony"},{"family":"Reid","given":"Kayla"},{"family":"Landgren","given":"Ola"},{"family":"Locke","given":"Frederick"},{"family":"Maura","given":"Francesco"},{"family":"Davila","given":"Marco"},{"family":"Schatz","given":"Jonathan"}],"accessed":{"date-parts":[["2026",3,30]]},"issued":{"date-parts":[["2021",11,10]]}}},{"id":647,"uris":["http://zotero.org/users/17472926/items/QYWEMTJQ"],"itemData":{"id":647,"type":"article-journal","abstract":"Target antigen density has emerged as a major factor influencing the potency of CAR T cells. Our laboratory has demonstrated that the activity of numerous CARs is highly dependent on target antigen density (Walker et al., Mol Ther, 2017), and high complete response rates in a recent trial of CD22 CAR T cells for B-ALL were tempered by frequent relapses due to decreased CD22 antigen density on lymphoblasts (Fry et al., Nat Med, 2018). To assess if antigen density is also a determinant of CD19 CAR T cell therapeutic success, we analyzed CD19 antigen density from fifty pediatric B-ALL patients treated on a clinical trial of CD19-CD28ζ CAR T cells. We found that patients whose CD19 expression was below a threshold density (2000 molecules/lymphoblast) were significantly less likely to achieve a clinical response than those whose leukemia expressed higher levels of CD19.In order to further understand this limitation and how it may be overcome, we developed a model of variable CD19 antigen density B-ALL. After establishing a CD19 knockout of the B-ALL cell line NALM6, we used a lentivirus to reintroduce CD19 and then FACS sorted and single cell cloned to achieve a library of NALM6 clones with varying CD19 surface densities. CD19-CD28ζ CAR T cell activity was highly dependent on CD19 antigen density. We observed decreases in cytotoxicity, proliferation, and cytokine production by CD19 CAR T cells when encountering CD19-low cells, with an approximate threshold of 2,000 molecules of CD19 per lymphoblast, below which, cytokine production in response to tumor cells was nearly ablated.Given that a CD19-4-1BBζ CAR is FDA approved for children with B-ALL and adults with DLBCL, we wondered whether CARs incorporating this alternative costimulatory domain would have similar antigen density thresholds for activation. Surprisingly, CD19-4-1BBζ CAR T cells made even less cytokine, proliferated less, and had further diminished cytolytic capacity against CD19-low cells compared to CD19-CD28ζ CAR T cells. Analysis by western blot of protein lysates from CAR T cells stimulated with varying amounts of antigen demonstrated that CD19-CD28ζ CAR T cells had higher levels of downstream signals such as pERK than CD19-4-1BBζ CAR T cells at lower antigen densities. Accordingly, calcium flux after stimulation was also significantly higher in CD19-CD28ζ than CD19-4-1BBζ CAR T cells.In a xenograft model of CD19-low B-ALL, CD19-4-1BBζ CAR T cells demonstrated no anti-tumor activity, while CD19-CD28ζ CAR T cells eradicated CD19-low leukemia cells. Therefore, the choice of costimulatory domain in CAR T cells plays a major role in modulating activity against low antigen density tumors. CD28 costimulation endows high reactivity towards low antigen density tumors. We confirmed the generalizability of this finding using Her2 CAR T cells; Her2-CD28ζ CAR T cells cleared tumors in an orthotopic xenograft model of Her2-low osteosarcoma, while Her2-4-1BBζ CAR T cells had no effect. This finding has implications for CAR design for lymphoma and solid tumors, where antigen expression is more heterogeneous than B-ALL.To enhance the activity of CD19-4-1BBζ CAR T cells against CD19-low leukemia, we designed a CAR with two copies of intracellular zeta in the signaling domain (CD19-4-1BBζζ). T cells expressing this double-zeta CAR demonstrated enhanced cytotoxicity, proliferation, cytokine production, and pERK signaling in response to CD19-low cells compared to single-zeta CARs. Additionally, in a xenograft model, CD19-4-1BBζζ CAR T cells demonstrated enhanced activity against CD19-low leukemia compared to CD19-4-1BBζ CAR T cells, significantly extending survival. The addition of a third zeta domain (CD19-4-1BBζζζ) further enhanced the activity of CAR T cells. However, inclusion of multiple copies of the costimulatory domains did not improve function.In conclusion, CD19 antigen density is an important determinant of CAR T cell function and therapeutic response. CD19-CD28ζ CARs are more efficient at targeting CD19-low tumor cells than CD19-4-1BBζ CARs. The addition of multiple zeta domains to the CAR enhances its ability to target low antigen density tumors. This serves as proof of concept that rational redesign of CAR signaling endodomains can result in enhanced function against low antigen density tumors, an important step for extending the reach of these powerful therapeutics and overcoming a significant mechanism of tumor escape.Lee:Juno: Consultancy.","container-title":"Blood","DOI":"10.1182/blood-2018-99-115558","ISSN":"0006-4971","issue":"Supplement 1","journalAbbreviation":"Blood","page":"963","source":"Silverchair","title":"Low CD19 Antigen Density Diminishes Efficacy of CD19 CAR T Cells and Can be Overcome By Rational Redesign of CAR Signaling Domains","volume":"132","author":[{"family":"Majzner","given":"Robbie G."},{"family":"Rietberg","given":"Skyler P."},{"family":"Labanieh","given":"Louai"},{"family":"Sotillo","given":"Elena"},{"family":"Weber","given":"Evan W."},{"family":"Lynn","given":"Rachel C."},{"family":"Theruvath","given":"Johanna L."},{"family":"Yuan","given":"Constance M."},{"family":"Xu","given":"Peng"},{"family":"Nguyen","given":"Sang M."},{"family":"Shah","given":"Nirali N."},{"family":"Stetler-Stevenson","given":"Maryalice"},{"family":"Fry","given":"Terry J."},{"family":"Lee","given":"Daniel W."},{"family":"Mackall","given":"Crystal L."}],"issued":{"date-parts":[["2018",11,29]]}}}],"schema":"https://github.com/citation-style-language/schema/raw/master/csl-citation.json"} </w:instrText>
      </w:r>
      <w:r>
        <w:fldChar w:fldCharType="separate"/>
      </w:r>
      <w:r w:rsidRPr="00CB06A2">
        <w:t>[5,6]</w:t>
      </w:r>
      <w:r>
        <w:fldChar w:fldCharType="end"/>
      </w:r>
      <w:r>
        <w:t>.</w:t>
      </w:r>
    </w:p>
    <w:p w14:paraId="704A6CCF" w14:textId="1A9C9D6B" w:rsidR="00CB06A2" w:rsidRDefault="00CB06A2" w:rsidP="000852E9">
      <w:pPr>
        <w:pStyle w:val="MDPI31text"/>
      </w:pPr>
      <w:r w:rsidRPr="00CB06A2">
        <w:t xml:space="preserve">In the ZUMA-7 </w:t>
      </w:r>
      <w:proofErr w:type="spellStart"/>
      <w:r w:rsidRPr="00CB06A2">
        <w:t>axi</w:t>
      </w:r>
      <w:proofErr w:type="spellEnd"/>
      <w:r w:rsidRPr="00CB06A2">
        <w:t xml:space="preserve">-cel cohort, sustained responders showed a consistent pattern of higher expression across multiple B-cell lineage markers, including </w:t>
      </w:r>
      <w:r w:rsidRPr="00AB3F54">
        <w:rPr>
          <w:i/>
          <w:iCs/>
        </w:rPr>
        <w:t>CD19</w:t>
      </w:r>
      <w:r w:rsidRPr="00CB06A2">
        <w:t xml:space="preserve">, </w:t>
      </w:r>
      <w:r w:rsidRPr="00AB3F54">
        <w:rPr>
          <w:i/>
          <w:iCs/>
        </w:rPr>
        <w:t>MS4A1</w:t>
      </w:r>
      <w:r w:rsidRPr="00CB06A2">
        <w:t xml:space="preserve">, and </w:t>
      </w:r>
      <w:r w:rsidRPr="00AB3F54">
        <w:rPr>
          <w:i/>
          <w:iCs/>
        </w:rPr>
        <w:t>TNFRSF17</w:t>
      </w:r>
      <w:r w:rsidRPr="00CB06A2">
        <w:t xml:space="preserve">. Together with the protective associations of </w:t>
      </w:r>
      <w:r w:rsidRPr="00AB3F54">
        <w:rPr>
          <w:i/>
          <w:iCs/>
        </w:rPr>
        <w:t>CD19</w:t>
      </w:r>
      <w:r w:rsidRPr="00CB06A2">
        <w:t xml:space="preserve">, </w:t>
      </w:r>
      <w:r w:rsidRPr="00AB3F54">
        <w:rPr>
          <w:i/>
          <w:iCs/>
        </w:rPr>
        <w:t>MS4A1</w:t>
      </w:r>
      <w:r w:rsidRPr="00CB06A2">
        <w:t xml:space="preserve">, </w:t>
      </w:r>
      <w:r w:rsidRPr="00AB3F54">
        <w:rPr>
          <w:i/>
          <w:iCs/>
        </w:rPr>
        <w:t>IRF8</w:t>
      </w:r>
      <w:r w:rsidRPr="00CB06A2">
        <w:t xml:space="preserve">, </w:t>
      </w:r>
      <w:r w:rsidRPr="00AB3F54">
        <w:rPr>
          <w:i/>
          <w:iCs/>
        </w:rPr>
        <w:t>LY9</w:t>
      </w:r>
      <w:r w:rsidRPr="00CB06A2">
        <w:t xml:space="preserve">, and </w:t>
      </w:r>
      <w:r w:rsidRPr="00AB3F54">
        <w:rPr>
          <w:i/>
          <w:iCs/>
        </w:rPr>
        <w:t>TNFRSF17</w:t>
      </w:r>
      <w:r w:rsidRPr="00CB06A2">
        <w:t xml:space="preserve"> with event-free survival, these findings suggest that preservation of a broader mature B-cell transcriptional program may facilitate effective CAR T-cell recognition and cytotoxicity. Conversely, reduced lineage integrity may mark a more plastic tumor state that is less susceptible to immune clearance</w:t>
      </w:r>
      <w:r>
        <w:t xml:space="preserve"> </w:t>
      </w:r>
      <w:r>
        <w:fldChar w:fldCharType="begin"/>
      </w:r>
      <w:r>
        <w:instrText xml:space="preserve"> ADDIN ZOTERO_ITEM CSL_CITATION {"citationID":"nnPfsq43","properties":{"unsorted":false,"formattedCitation":"[35\\uc0\\u8211{}37]","plainCitation":"[35–37]","noteIndex":0},"citationItems":[{"id":756,"uris":["http://zotero.org/users/17472926/items/XNUHA5CY"],"itemData":{"id":756,"type":"article-journal","abstract":"Abstract\n            Lineage plasticity has emerged as an important mechanism of treatment resistance in prostate cancer. Treatment-refractory prostate cancers are increasingly associated with loss of luminal prostate markers, and in many cases induction of developmental programs, stem cell–like phenotypes, and neuroendocrine/neuronal features. Clinically, lineage plasticity may manifest as low PSA progression, resistance to androgen receptor (AR) pathway inhibitors, and sometimes small cell/neuroendocrine pathologic features observed on metastatic biopsy. This mechanism is not restricted to prostate cancer as other malignancies also demonstrate lineage plasticity during resistance to targeted therapies. At present, there is no established therapeutic approach for patients with advanced prostate cancer developing lineage plasticity or small cell neuroendocrine prostate cancer (NEPC) due to knowledge gaps in the underlying biology. Few clinical trials address questions in this space, and the outlook for patients remains poor. To move forward, urgently needed are: (i) a fundamental understanding of how lineage plasticity occurs and how it can best be defined; (ii) the temporal contribution and cooperation of emerging drivers; (iii) preclinical models that recapitulate biology of the disease and the recognized phenotypes; (iv) identification of therapeutic targets; and (v) novel trial designs dedicated to the entity as it is defined. This Perspective represents a consensus arising from the NCI Workshop on Lineage Plasticity and Androgen Receptor-Independent Prostate Cancer. We focus on the critical questions underlying lineage plasticity and AR-independent prostate cancer, outline knowledge and resource gaps, and identify strategies to facilitate future collaborative clinical translational and basic studies in this space.","container-title":"Clinical Cancer Research","DOI":"10.1158/1078-0432.CCR-19-1423","ISSN":"1078-0432, 1557-3265","issue":"23","language":"en","page":"6916-6924","source":"DOI.org (Crossref)","title":"The Role of Lineage Plasticity in Prostate Cancer Therapy Resistance","volume":"25","author":[{"family":"Beltran","given":"Himisha"},{"family":"Hruszkewycz","given":"Andrew"},{"family":"Scher","given":"Howard I."},{"family":"Hildesheim","given":"Jeffrey"},{"family":"Isaacs","given":"Jennifer"},{"family":"Yu","given":"Evan Y."},{"family":"Kelly","given":"Kathleen"},{"family":"Lin","given":"Daniel"},{"family":"Dicker","given":"Adam"},{"family":"Arnold","given":"Julia"},{"family":"Hecht","given":"Toby"},{"family":"Wicha","given":"Max"},{"family":"Sears","given":"Rosalie"},{"family":"Rowley","given":"David"},{"family":"White","given":"Richard"},{"family":"Gulley","given":"James L."},{"family":"Lee","given":"John"},{"family":"Diaz Meco","given":"Maria"},{"family":"Small","given":"Eric J."},{"family":"Shen","given":"Michael"},{"family":"Knudsen","given":"Karen"},{"family":"Goodrich","given":"David W."},{"family":"Lotan","given":"Tamara"},{"family":"Zoubeidi","given":"Amina"},{"family":"Sawyers","given":"Charles L."},{"family":"Rudin","given":"Charles M."},{"family":"Loda","given":"Massimo"},{"family":"Thompson","given":"Timothy"},{"family":"Rubin","given":"Mark A."},{"family":"Tawab-Amiri","given":"Abdul"},{"family":"Dahut","given":"William"},{"family":"Nelson","given":"Peter S."}],"issued":{"date-parts":[["2019",12,1]]}}},{"id":757,"uris":["http://zotero.org/users/17472926/items/E2P6GPHD"],"itemData":{"id":757,"type":"article-journal","container-title":"Cancer Cell","DOI":"10.1016/j.ccell.2020.06.002","ISSN":"15356108","issue":"3","journalAbbreviation":"Cancer Cell","language":"en","page":"380-399.e13","source":"DOI.org (Crossref)","title":"Immunogenomic Landscape of Hematological Malignancies","volume":"38","author":[{"family":"Dufva","given":"Olli"},{"family":"Pölönen","given":"Petri"},{"family":"Brück","given":"Oscar"},{"family":"Keränen","given":"Mikko A.I."},{"family":"Klievink","given":"Jay"},{"family":"Mehtonen","given":"Juha"},{"family":"Huuhtanen","given":"Jani"},{"family":"Kumar","given":"Ashwini"},{"family":"Malani","given":"Disha"},{"family":"Siitonen","given":"Sanna"},{"family":"Kankainen","given":"Matti"},{"family":"Ghimire","given":"Bishwa"},{"family":"Lahtela","given":"Jenni"},{"family":"Mattila","given":"Pirkko"},{"family":"Vähä-Koskela","given":"Markus"},{"family":"Wennerberg","given":"Krister"},{"family":"Granberg","given":"Kirsi"},{"family":"Leivonen","given":"Suvi-Katri"},{"family":"Meriranta","given":"Leo"},{"family":"Heckman","given":"Caroline"},{"family":"Leppä","given":"Sirpa"},{"family":"Nykter","given":"Matti"},{"family":"Lohi","given":"Olli"},{"family":"Heinäniemi","given":"Merja"},{"family":"Mustjoki","given":"Satu"}],"issued":{"date-parts":[["2020",9]]}}},{"id":758,"uris":["http://zotero.org/users/17472926/items/99E6ST4X"],"itemData":{"id":758,"type":"article-journal","container-title":"Nature Medicine","DOI":"10.1038/s41591-018-0016-8","ISSN":"1078-8956, 1546-170X","issue":"5","journalAbbreviation":"Nat Med","language":"en","page":"679-690","source":"DOI.org (Crossref)","title":"Molecular subtypes of diffuse large B cell lymphoma are associated with distinct pathogenic mechanisms and outcomes","volume":"24","author":[{"family":"Chapuy","given":"Bjoern"},{"family":"Stewart","given":"Chip"},{"family":"Dunford","given":"Andrew J."},{"family":"Kim","given":"Jaegil"},{"family":"Kamburov","given":"Atanas"},{"family":"Redd","given":"Robert A."},{"family":"Lawrence","given":"Mike S."},{"family":"Roemer","given":"Margaretha G. M."},{"family":"Li","given":"Amy J."},{"family":"Ziepert","given":"Marita"},{"family":"Staiger","given":"Annette M."},{"family":"Wala","given":"Jeremiah A."},{"family":"Ducar","given":"Matthew D."},{"family":"Leshchiner","given":"Ignaty"},{"family":"Rheinbay","given":"Ester"},{"family":"Taylor-Weiner","given":"Amaro"},{"family":"Coughlin","given":"Caroline A."},{"family":"Hess","given":"Julian M."},{"family":"Pedamallu","given":"Chandra S."},{"family":"Livitz","given":"Dimitri"},{"family":"Rosebrock","given":"Daniel"},{"family":"Rosenberg","given":"Mara"},{"family":"Tracy","given":"Adam A."},{"family":"Horn","given":"Heike"},{"family":"Van Hummelen","given":"Paul"},{"family":"Feldman","given":"Andrew L."},{"family":"Link","given":"Brian K."},{"family":"Novak","given":"Anne J."},{"family":"Cerhan","given":"James R."},{"family":"Habermann","given":"Thomas M."},{"family":"Siebert","given":"Reiner"},{"family":"Rosenwald","given":"Andreas"},{"family":"Thorner","given":"Aaron R."},{"family":"Meyerson","given":"Matthew L."},{"family":"Golub","given":"Todd R."},{"family":"Beroukhim","given":"Rameen"},{"family":"Wulf","given":"Gerald G."},{"family":"Ott","given":"German"},{"family":"Rodig","given":"Scott J."},{"family":"Monti","given":"Stefano"},{"family":"Neuberg","given":"Donna S."},{"family":"Loeffler","given":"Markus"},{"family":"Pfreundschuh","given":"Michael"},{"family":"Trümper","given":"Lorenz"},{"family":"Getz","given":"Gad"},{"family":"Shipp","given":"Margaret A."}],"issued":{"date-parts":[["2018",5]]}}}],"schema":"https://github.com/citation-style-language/schema/raw/master/csl-citation.json"} </w:instrText>
      </w:r>
      <w:r>
        <w:fldChar w:fldCharType="separate"/>
      </w:r>
      <w:r w:rsidRPr="00CB06A2">
        <w:t>[35–37]</w:t>
      </w:r>
      <w:r>
        <w:fldChar w:fldCharType="end"/>
      </w:r>
      <w:r>
        <w:t xml:space="preserve">. </w:t>
      </w:r>
      <w:r w:rsidRPr="00CB06A2">
        <w:t xml:space="preserve">Because not all baseline comparisons reached statistical significance and a similar association was not observed in the ZUMA-1 baseline analysis, B-cell lineage integrity should be regarded as a candidate determinant of sensitivity rather than an established prerequisite for </w:t>
      </w:r>
      <w:proofErr w:type="spellStart"/>
      <w:r w:rsidRPr="00CB06A2">
        <w:t>axi</w:t>
      </w:r>
      <w:proofErr w:type="spellEnd"/>
      <w:r w:rsidRPr="00CB06A2">
        <w:t>-cel efficacy.</w:t>
      </w:r>
    </w:p>
    <w:p w14:paraId="3F9E0A79" w14:textId="236790FB" w:rsidR="00CB06A2" w:rsidRDefault="00CB06A2" w:rsidP="000852E9">
      <w:pPr>
        <w:pStyle w:val="MDPI31text"/>
      </w:pPr>
      <w:r w:rsidRPr="00CB06A2">
        <w:t xml:space="preserve">Our findings also refine the roles of canonical immune-evasion pathways in CAR T-cell therapy. Baseline transcriptional signatures of T-cell exhaustion and global HLA downregulation did not consistently distinguish responders from non-responders in either ZUMA-1 or ZUMA-7. This result does not imply that immune checkpoints are biologically irrelevant. PD-1/PD-L1 and related pathways may act dynamically after infusion, directly affect the phenotype and persistence of the infused CAR T cells, or be </w:t>
      </w:r>
      <w:r w:rsidRPr="00CB06A2">
        <w:lastRenderedPageBreak/>
        <w:t>inadequately represented by bulk pretreatment tumor RNA</w:t>
      </w:r>
      <w:r>
        <w:t xml:space="preserve"> </w:t>
      </w:r>
      <w:r>
        <w:fldChar w:fldCharType="begin"/>
      </w:r>
      <w:r>
        <w:instrText xml:space="preserve"> ADDIN ZOTERO_ITEM CSL_CITATION {"citationID":"J23iFa23","properties":{"unsorted":false,"formattedCitation":"[7\\uc0\\u8211{}9,38,39]","plainCitation":"[7–9,38,39]","noteIndex":0},"citationItems":[{"id":726,"uris":["http://zotero.org/users/17472926/items/VY9L9X3G"],"itemData":{"id":726,"type":"article-journal","container-title":"Blood","DOI":"10.1182/blood-2016-09-738245","ISSN":"0006-4971, 1528-0020","issue":"8","language":"en","page":"1039-1041","source":"DOI.org (Crossref)","title":"PD-1 blockade modulates chimeric antigen receptor (CAR)–modified T cells: refueling the CAR","title-short":"PD-1 blockade modulates chimeric antigen receptor (CAR)–modified T cells","volume":"129","author":[{"family":"Chong","given":"Elise A."},{"family":"Melenhorst","given":"J. Joseph"},{"family":"Lacey","given":"Simon F."},{"family":"Ambrose","given":"David E."},{"family":"Gonzalez","given":"Vanessa"},{"family":"Levine","given":"Bruce L."},{"family":"June","given":"Carl H."},{"family":"Schuster","given":"Stephen J."}],"issued":{"date-parts":[["2017",2,23]]}}},{"id":728,"uris":["http://zotero.org/users/17472926/items/PKH2395Y"],"itemData":{"id":728,"type":"article-journal","abstract":"Publisher's Note: There is a Blood Commentary on this article in this issue.","container-title":"Blood","DOI":"10.1182/blood-2017-07-793760","ISSN":"0006-4971, 1528-0020","issue":"1","language":"en","page":"121-130","source":"DOI.org (Crossref)","title":"Infectious complications of CD19-targeted chimeric antigen receptor–modified T-cell immunotherapy","volume":"131","author":[{"family":"Hill","given":"Joshua A."},{"family":"Li","given":"Daniel"},{"family":"Hay","given":"Kevin A."},{"family":"Green","given":"Margaret L."},{"family":"Cherian","given":"Sindhu"},{"family":"Chen","given":"Xueyan"},{"family":"Riddell","given":"Stanley R."},{"family":"Maloney","given":"David G."},{"family":"Boeckh","given":"Michael"},{"family":"Turtle","given":"Cameron J."}],"issued":{"date-parts":[["2018",1,4]]}}},{"id":730,"uris":["http://zotero.org/users/17472926/items/92IIU97D"],"itemData":{"id":730,"type":"article-journal","abstract":"Abstract\n            CD19-directed chimeric antigen receptor–modified (CAR T) T cells achieve durable remissions in about 30% to 40% of relapsed/refractory large B-cell lymphomas. T-cell exhaustion and/or an immunosuppressive tumor microenvironment may contribute to CAR T-cell failure. Pembrolizumab, an anti-PD1 immune checkpoint inhibitor, may reverse T-cell exhaustion after CAR T-cell therapy. We treated 12 patients with B-cell lymphomas who were either refractory to (n = 9) or relapsed after (n = 3) CD19-directed CAR T-cell (4-1BB–costimulated) therapy with pembrolizumab 200 mg IV every 3 weeks. Median time from CAR T-cell infusion to first pembrolizumab dose was 3.3 months (range, 0.4-42.8 months). Pembrolizumab was well tolerated, and the only grade ≥3 adverse events related to pembrolizumab were neutropenia (n = 3; 25%). Best overall response rate after pembrolizumab was 25% (3 of 12 patients; 1 complete response; 2 partial responses). One (8%) patient had stable disease; thus, 4 of 12 (33%) patients had clinical benefit. After pembrolizumab, 4 patients with clinical benefit had an increase in percentage of CAR T cells by mass cytometry by time of flight (CyTOF); 3 of 4 of these patients also had increases in CAR19 transgene levels by quantitative polymerase chain reaction. Deep immune profiling using CyTOF revealed increased CAR T-cell activation and proliferation and less T-cell exhaustion in clinical responders. Together, PD1 blockade with pembrolizumab after CD19-directed CAR T-cell therapy appears safe and may achieve clinical responses in some patients with B-cell lymphomas refractory to or relapsed after CAR T-cell therapy. This trial was registered at www.clinicaltrials.gove as #NCT02650999.","container-title":"Blood","DOI":"10.1182/blood.2021012634","ISSN":"0006-4971, 1528-0020","issue":"7","language":"en","page":"1026-1038","source":"DOI.org (Crossref)","title":"Pembrolizumab for B-cell lymphomas relapsing after or refractory to CD19-directed CAR T-cell therapy","volume":"139","author":[{"family":"Chong","given":"Elise A."},{"family":"Alanio","given":"Cécile"},{"family":"Svoboda","given":"Jakub"},{"family":"Nasta","given":"Sunita D."},{"family":"Landsburg","given":"Daniel J."},{"family":"Lacey","given":"Simon F."},{"family":"Ruella","given":"Marco"},{"family":"Bhattacharyya","given":"Siddharth"},{"family":"Wherry","given":"E. John"},{"family":"Schuster","given":"Stephen J."}],"issued":{"date-parts":[["2022",2,17]]}}},{"id":715,"uris":["http://zotero.org/users/17472926/items/XV22V5LH"],"itemData":{"id":715,"type":"article-journal","container-title":"Journal of Clinical Investigation","DOI":"10.1172/JCI83092","ISSN":"0021-9738, 1558-8238","issue":"8","language":"en","page":"3130-3144","source":"DOI.org (Crossref)","title":"Human CAR T cells with cell-intrinsic PD-1 checkpoint blockade resist tumor-mediated inhibition","volume":"126","author":[{"family":"Cherkassky","given":"Leonid"},{"family":"Morello","given":"Aurore"},{"family":"Villena-Vargas","given":"Jonathan"},{"family":"Feng","given":"Yang"},{"family":"Dimitrov","given":"Dimiter S."},{"family":"Jones","given":"David R."},{"family":"Sadelain","given":"Michel"},{"family":"Adusumilli","given":"Prasad S."}],"issued":{"date-parts":[["2016",7,25]]}}},{"id":759,"uris":["http://zotero.org/users/17472926/items/683URLKM"],"itemData":{"id":759,"type":"article-journal","container-title":"Nature Reviews Cancer","DOI":"10.1038/s41568-020-00323-z","ISSN":"1474-175X, 1474-1768","issue":"3","journalAbbreviation":"Nat Rev Cancer","language":"en","page":"145-161","source":"DOI.org (Crossref)","title":"Recent advances and discoveries in the mechanisms and functions of CAR T cells","volume":"21","author":[{"family":"Larson","given":"Rebecca C."},{"family":"Maus","given":"Marcela V."}],"issued":{"date-parts":[["2021",3]]}}}],"schema":"https://github.com/citation-style-language/schema/raw/master/csl-citation.json"} </w:instrText>
      </w:r>
      <w:r>
        <w:fldChar w:fldCharType="separate"/>
      </w:r>
      <w:r w:rsidRPr="00CB06A2">
        <w:t>[7–9,38,39]</w:t>
      </w:r>
      <w:r>
        <w:fldChar w:fldCharType="end"/>
      </w:r>
      <w:r>
        <w:t xml:space="preserve">. </w:t>
      </w:r>
      <w:r w:rsidRPr="00CB06A2">
        <w:t>Similarly, the absence of a global association between HLA machinery and response is biologically compatible with the HLA-independent recognition conferred by the CAR construct</w:t>
      </w:r>
      <w:r>
        <w:t xml:space="preserve"> </w:t>
      </w:r>
      <w:r>
        <w:fldChar w:fldCharType="begin"/>
      </w:r>
      <w:r>
        <w:instrText xml:space="preserve"> ADDIN ZOTERO_ITEM CSL_CITATION {"citationID":"oULGITXp","properties":{"unsorted":false,"formattedCitation":"[40]","plainCitation":"[40]","noteIndex":0},"citationItems":[{"id":760,"uris":["http://zotero.org/users/17472926/items/9ICIZZIQ"],"itemData":{"id":760,"type":"article-journal","container-title":"Nature Medicine","DOI":"10.1038/s41591-019-0564-6","ISSN":"1078-8956, 1546-170X","issue":"9","journalAbbreviation":"Nat Med","language":"en","page":"1341-1355","source":"DOI.org (Crossref)","title":"Clinical lessons learned from the first leg of the CAR T cell journey","volume":"25","author":[{"family":"Majzner","given":"Robbie G."},{"family":"Mackall","given":"Crystal L."}],"issued":{"date-parts":[["2019",9]]}}}],"schema":"https://github.com/citation-style-language/schema/raw/master/csl-citation.json"} </w:instrText>
      </w:r>
      <w:r>
        <w:fldChar w:fldCharType="separate"/>
      </w:r>
      <w:r w:rsidRPr="00CB06A2">
        <w:t>[40]</w:t>
      </w:r>
      <w:r>
        <w:fldChar w:fldCharType="end"/>
      </w:r>
      <w:r>
        <w:t xml:space="preserve">. </w:t>
      </w:r>
      <w:r w:rsidRPr="00CB06A2">
        <w:t xml:space="preserve">The protective association observed for </w:t>
      </w:r>
      <w:r w:rsidRPr="00AB3F54">
        <w:rPr>
          <w:i/>
          <w:iCs/>
        </w:rPr>
        <w:t>HLA-DOB</w:t>
      </w:r>
      <w:r w:rsidRPr="00CB06A2">
        <w:t xml:space="preserve"> should therefore not be interpreted as evidence that conventional antigen presentation is required for </w:t>
      </w:r>
      <w:proofErr w:type="spellStart"/>
      <w:r w:rsidRPr="00CB06A2">
        <w:t>axi</w:t>
      </w:r>
      <w:proofErr w:type="spellEnd"/>
      <w:r w:rsidRPr="00CB06A2">
        <w:t>-cel activity; it may instead reflect preserved B-cell differentiation or a broader immunologically competent tumor state.</w:t>
      </w:r>
    </w:p>
    <w:p w14:paraId="30C1ADC7" w14:textId="1AA04940" w:rsidR="00CB06A2" w:rsidRDefault="00CB06A2" w:rsidP="000852E9">
      <w:pPr>
        <w:pStyle w:val="MDPI31text"/>
      </w:pPr>
      <w:r w:rsidRPr="00CB06A2">
        <w:t>The comparison between cohorts further suggests that the biological context of resistance may differ according to treatment setting and prior therapeutic exposure. In the later-line ZUMA-1 cohort, lack of complete response was associated with significant suppression of IFN-alpha, IFN-gamma, and IL-6/JAK/STAT3 programs. This pattern is consistent with an immune-silenced baseline state in which deficient inflammatory signaling may reduce tumor susceptibility to CAR T-cell-mediated killing</w:t>
      </w:r>
      <w:r>
        <w:t xml:space="preserve"> </w:t>
      </w:r>
      <w:r>
        <w:fldChar w:fldCharType="begin"/>
      </w:r>
      <w:r>
        <w:instrText xml:space="preserve"> ADDIN ZOTERO_ITEM CSL_CITATION {"citationID":"w1qkx1G8","properties":{"unsorted":false,"formattedCitation":"[41]","plainCitation":"[41]","noteIndex":0},"citationItems":[{"id":761,"uris":["http://zotero.org/users/17472926/items/CEVYPMHL"],"itemData":{"id":761,"type":"article-journal","container-title":"Journal of Clinical Investigation","DOI":"10.1172/JCI91190","ISSN":"0021-9738, 1558-8238","issue":"8","language":"en","page":"2930-2940","source":"DOI.org (Crossref)","title":"IFN-γ–related mRNA profile predicts clinical response to PD-1 blockade","volume":"127","author":[{"family":"Ayers","given":"Mark"},{"family":"Lunceford","given":"Jared"},{"family":"Nebozhyn","given":"Michael"},{"family":"Murphy","given":"Erin"},{"family":"Loboda","given":"Andrey"},{"family":"Kaufman","given":"David R."},{"family":"Albright","given":"Andrew"},{"family":"Cheng","given":"Jonathan D."},{"family":"Kang","given":"S. Peter"},{"family":"Shankaran","given":"Veena"},{"family":"Piha-Paul","given":"Sarina A."},{"family":"Yearley","given":"Jennifer"},{"family":"Seiwert","given":"Tanguy Y."},{"family":"Ribas","given":"Antoni"},{"family":"McClanahan","given":"Terrill K."}],"issued":{"date-parts":[["2017",6,26]]}}}],"schema":"https://github.com/citation-style-language/schema/raw/master/csl-citation.json"} </w:instrText>
      </w:r>
      <w:r>
        <w:fldChar w:fldCharType="separate"/>
      </w:r>
      <w:r w:rsidRPr="00CB06A2">
        <w:t>[41]</w:t>
      </w:r>
      <w:r>
        <w:fldChar w:fldCharType="end"/>
      </w:r>
      <w:r>
        <w:t xml:space="preserve">. </w:t>
      </w:r>
      <w:r w:rsidRPr="00CB06A2">
        <w:t>This interpretation complements, rather than contradicts, evidence that prolonged IFN signaling can promote adaptive resistance: the timing and duration of pathway activation are likely to determine whether IFN signaling enhances antitumor immunity or contributes to dysfunction</w:t>
      </w:r>
      <w:r>
        <w:t xml:space="preserve"> </w:t>
      </w:r>
      <w:r>
        <w:fldChar w:fldCharType="begin"/>
      </w:r>
      <w:r>
        <w:instrText xml:space="preserve"> ADDIN ZOTERO_ITEM CSL_CITATION {"citationID":"o2SAf8Gp","properties":{"unsorted":false,"formattedCitation":"[12]","plainCitation":"[12]","noteIndex":0},"citationItems":[{"id":717,"uris":["http://zotero.org/users/17472926/items/MMXB7ENY"],"itemData":{"id":717,"type":"article-journal","container-title":"Cell","DOI":"10.1016/j.cell.2016.11.022","ISSN":"00928674","issue":"6","journalAbbreviation":"Cell","language":"en","page":"1540-1554.e12","source":"DOI.org (Crossref)","title":"Tumor Interferon Signaling Regulates a Multigenic Resistance Program to Immune Checkpoint Blockade","volume":"167","author":[{"family":"Benci","given":"Joseph L."},{"family":"Xu","given":"Bihui"},{"family":"Qiu","given":"Yu"},{"family":"Wu","given":"Tony J."},{"family":"Dada","given":"Hannah"},{"family":"Twyman-Saint Victor","given":"Christina"},{"family":"Cucolo","given":"Lisa"},{"family":"Lee","given":"David S.M."},{"family":"Pauken","given":"Kristen E."},{"family":"Huang","given":"Alexander C."},{"family":"Gangadhar","given":"Tara C."},{"family":"Amaravadi","given":"Ravi K."},{"family":"Schuchter","given":"Lynn M."},{"family":"Feldman","given":"Michael D."},{"family":"Ishwaran","given":"Hemant"},{"family":"Vonderheide","given":"Robert H."},{"family":"Maity","given":"Amit"},{"family":"Wherry","given":"E. John"},{"family":"Minn","given":"Andy J."}],"issued":{"date-parts":[["2016",12]]}}}],"schema":"https://github.com/citation-style-language/schema/raw/master/csl-citation.json"} </w:instrText>
      </w:r>
      <w:r>
        <w:fldChar w:fldCharType="separate"/>
      </w:r>
      <w:r w:rsidRPr="00CB06A2">
        <w:t>[12]</w:t>
      </w:r>
      <w:r>
        <w:fldChar w:fldCharType="end"/>
      </w:r>
      <w:r w:rsidR="00EC6D06">
        <w:t xml:space="preserve">, </w:t>
      </w:r>
      <w:r w:rsidR="00EC6D06" w:rsidRPr="00EC6D06">
        <w:t xml:space="preserve">The concomitant association of </w:t>
      </w:r>
      <w:r w:rsidR="00EC6D06" w:rsidRPr="00AB3F54">
        <w:rPr>
          <w:i/>
          <w:iCs/>
        </w:rPr>
        <w:t>CCL20</w:t>
      </w:r>
      <w:r w:rsidR="00EC6D06" w:rsidRPr="00EC6D06">
        <w:t xml:space="preserve"> with adverse outcome raises the possibility that alternative chemokine programs contribute to an immune-excluding or dysfunctional niche</w:t>
      </w:r>
      <w:r w:rsidR="00EC6D06">
        <w:t xml:space="preserve"> </w:t>
      </w:r>
      <w:r w:rsidR="00EC6D06">
        <w:fldChar w:fldCharType="begin"/>
      </w:r>
      <w:r w:rsidR="00EC6D06">
        <w:instrText xml:space="preserve"> ADDIN ZOTERO_ITEM CSL_CITATION {"citationID":"oiALb2IU","properties":{"unsorted":false,"formattedCitation":"[14,42]","plainCitation":"[14,42]","noteIndex":0},"citationItems":[{"id":719,"uris":["http://zotero.org/users/17472926/items/GFBLBY8X"],"itemData":{"id":719,"type":"article-journal","container-title":"Nature","DOI":"10.1038/nature17039","ISSN":"0028-0836, 1476-4687","issue":"7586","journalAbbreviation":"Nature","language":"en","page":"307-315","source":"DOI.org (Crossref)","title":"Reparative inflammation takes charge of tissue regeneration","volume":"529","author":[{"family":"Karin","given":"Michael"},{"family":"Clevers","given":"Hans"}],"issued":{"date-parts":[["2016",1]]}}},{"id":737,"uris":["http://zotero.org/users/17472926/items/M7LJ93S7"],"itemData":{"id":737,"type":"article-journal","container-title":"Frontiers in Immunology","DOI":"10.3389/fimmu.2015.00609","ISSN":"1664-3224","journalAbbreviation":"Front. Immunol.","source":"DOI.org (Crossref)","title":"The Role of Chemokines in Shaping the Balance Between CD4+ T Cell Subsets and Its Therapeutic Implications in Autoimmune and Cancer Diseases","URL":"http://journal.frontiersin.org/Article/10.3389/fimmu.2015.00609/abstract","volume":"6","author":[{"family":"Karin","given":"Nathan"},{"family":"Wildbaum","given":"Gizi"}],"accessed":{"date-parts":[["2026",8,1]]},"issued":{"date-parts":[["2015",11,30]]}}}],"schema":"https://github.com/citation-style-language/schema/raw/master/csl-citation.json"} </w:instrText>
      </w:r>
      <w:r w:rsidR="00EC6D06">
        <w:fldChar w:fldCharType="separate"/>
      </w:r>
      <w:r w:rsidR="00EC6D06" w:rsidRPr="00EC6D06">
        <w:t>[14,42]</w:t>
      </w:r>
      <w:r w:rsidR="00EC6D06">
        <w:fldChar w:fldCharType="end"/>
      </w:r>
      <w:r w:rsidR="00EC6D06">
        <w:t xml:space="preserve">, </w:t>
      </w:r>
      <w:r w:rsidR="00EC6D06" w:rsidRPr="00EC6D06">
        <w:t>although its cellular source and functional role cannot be resolved from bulk transcriptomic data.</w:t>
      </w:r>
    </w:p>
    <w:p w14:paraId="236E74A6" w14:textId="24A047DD" w:rsidR="00EC6D06" w:rsidRDefault="00EC6D06" w:rsidP="000852E9">
      <w:pPr>
        <w:pStyle w:val="MDPI31text"/>
      </w:pPr>
      <w:r w:rsidRPr="00EC6D06">
        <w:t xml:space="preserve">In the </w:t>
      </w:r>
      <w:proofErr w:type="gramStart"/>
      <w:r w:rsidRPr="00EC6D06">
        <w:t>earlier-line</w:t>
      </w:r>
      <w:proofErr w:type="gramEnd"/>
      <w:r w:rsidRPr="00EC6D06">
        <w:t xml:space="preserve"> ZUMA-7 cohort, treatment failure was associated with a different transcriptional pattern, characterized by loss of mature B-cell features and enrichment of developmental, adhesion, and tissue-remodeling programs. Notch, E2F-target, and G2/M-checkpoint pathways showed suggestive enrichment, although their false-discovery rates (FDR) marginally exceeded the stringent 0.05 threshold, rendering these specific findings exploratory. The adverse associations of </w:t>
      </w:r>
      <w:r w:rsidRPr="00AB3F54">
        <w:rPr>
          <w:i/>
          <w:iCs/>
        </w:rPr>
        <w:t>CDH2</w:t>
      </w:r>
      <w:r w:rsidRPr="00EC6D06">
        <w:t xml:space="preserve">, </w:t>
      </w:r>
      <w:r w:rsidRPr="00AB3F54">
        <w:rPr>
          <w:i/>
          <w:iCs/>
        </w:rPr>
        <w:t>NCAM1</w:t>
      </w:r>
      <w:r w:rsidRPr="00EC6D06">
        <w:t xml:space="preserve">, </w:t>
      </w:r>
      <w:r w:rsidRPr="00AB3F54">
        <w:rPr>
          <w:i/>
          <w:iCs/>
        </w:rPr>
        <w:t>LRRC32</w:t>
      </w:r>
      <w:r w:rsidRPr="00EC6D06">
        <w:t xml:space="preserve">, </w:t>
      </w:r>
      <w:r w:rsidRPr="00AB3F54">
        <w:rPr>
          <w:i/>
          <w:iCs/>
        </w:rPr>
        <w:t>DUSP5</w:t>
      </w:r>
      <w:r w:rsidRPr="00EC6D06">
        <w:t xml:space="preserve">, </w:t>
      </w:r>
      <w:r w:rsidRPr="00AB3F54">
        <w:rPr>
          <w:i/>
          <w:iCs/>
        </w:rPr>
        <w:t>CCL20</w:t>
      </w:r>
      <w:r w:rsidRPr="00EC6D06">
        <w:t xml:space="preserve">, and </w:t>
      </w:r>
      <w:r w:rsidRPr="00AB3F54">
        <w:rPr>
          <w:i/>
          <w:iCs/>
        </w:rPr>
        <w:t>WNT11</w:t>
      </w:r>
      <w:r w:rsidRPr="00EC6D06">
        <w:t xml:space="preserve"> with event-free survival support a model in which phenotypic plasticity and altered cell-cell or cell-matrix interactions may reduce tumor accessibility or susceptibility to CAR T-cell cytotoxicity</w:t>
      </w:r>
      <w:r>
        <w:t xml:space="preserve"> </w:t>
      </w:r>
      <w:r>
        <w:fldChar w:fldCharType="begin"/>
      </w:r>
      <w:r>
        <w:instrText xml:space="preserve"> ADDIN ZOTERO_ITEM CSL_CITATION {"citationID":"DfR3Pmq5","properties":{"unsorted":false,"formattedCitation":"[15\\uc0\\u8211{}17]","plainCitation":"[15–17]","noteIndex":0},"citationItems":[{"id":734,"uris":["http://zotero.org/users/17472926/items/TZMZF3IH"],"itemData":{"id":734,"type":"article-journal","abstract":"Metastasis causes most cancer deaths, yet this process remains one of the most enigmatic aspects of the disease. Building on new mechanistic insights emerging from recent research, we offer our perspective on the metastatic process and reflect on possible paths of future exploration. We suggest that metastasis can be portrayed as a two-phase process: The first phase involves the physical translocation of a cancer cell to a distant organ, whereas the second encompasses the ability of the cancer cell to develop into a metastatic lesion at that distant site. Although much remains to be learned about the second phase, we feel that an understanding of the first phase is now within sight, due in part to a better understanding of how cancer cell behavior can be modified by a cell-biological program called the epithelial-to-mesenchymal transition.","container-title":"Science","DOI":"10.1126/science.1203543","ISSN":"0036-8075, 1095-9203","issue":"6024","journalAbbreviation":"Science","language":"en","page":"1559-1564","source":"DOI.org (Crossref)","title":"A Perspective on Cancer Cell Metastasis","volume":"331","author":[{"family":"Chaffer","given":"Christine L."},{"family":"Weinberg","given":"Robert A."}],"issued":{"date-parts":[["2011",3,25]]}}},{"id":735,"uris":["http://zotero.org/users/17472926/items/ERBHAJIB"],"itemData":{"id":735,"type":"article-journal","abstract":"Novel immunotherapy approaches have provided durable remission in a significant number of cancer patients with cancers previously considered rapidly lethal. Nonetheless, the high degree of nonresponders, and in some cases the emergence of resistance in patients who do initially respond, represents a significant challenge in the field of cancer immunotherapy. These issues prompt much more extensive studies to better understand how cancer cells escape immune surveillance and resist immune attacks. Here, we review the current knowledge of how cellular heterogeneity and plasticity could be involved in shaping the tumor microenvironment (TME) and in controlling antitumor immunity. Indeed, recent findings have led to increased interest in the mechanisms by which cancer cells undergoing epithelial‐mesenchymal transition (\n              EMT\n              ), or oscillating within the\n              EMT\n              spectrum, might contribute to immune escape through multiple routes. This includes shaping of the TME and decreased susceptibility to immune effector cells. Although much remains to be learned on the mechanisms at play, cancer cell clones with mesenchymal features emerging from the TME seem to be primed to face immune attacks by specialized killer cells of the immune system, the natural killer cells, and the cytotoxic T lymphocytes. Recent studies investigating patient tumors have suggested\n              EMT\n              as a candidate predictive marker to be explored for immunotherapy outcome. Promising data also exist on the potential utility of targeting these cancer cell populations to at least partly overcome such resistance. Research is now underway which may lead to considerable progress in optimization of treatments.","container-title":"Molecular Oncology","DOI":"10.1002/1878-0261.12093","ISSN":"1574-7891, 1878-0261","issue":"7","journalAbbreviation":"Molecular Oncology","language":"en","page":"824-846","source":"DOI.org (Crossref)","title":"New insights into the role of &lt;span style=\"font-variant:small-caps;\"&gt;EMT&lt;/span&gt; in tumor immune escape","title-short":"New insights into the role of &lt;span style=\"font-variant","volume":"11","author":[{"family":"Terry","given":"Stéphane"},{"family":"Savagner","given":"Pierre"},{"family":"Ortiz‐Cuaran","given":"Sandra"},{"family":"Mahjoubi","given":"Linda"},{"family":"Saintigny","given":"Pierre"},{"family":"Thiery","given":"Jean‐Paul"},{"family":"Chouaib","given":"Salem"}],"issued":{"date-parts":[["2017",7]]}}},{"id":736,"uris":["http://zotero.org/users/17472926/items/MULX6D6Y"],"itemData":{"id":736,"type":"article-journal","abstract":"Various features of the tumor and immune system influence the success of immunotherapy.\n          , \n            Immunotherapy is revolutionizing the clinical management of multiple tumors. However, only a fraction of patients with cancer responds to immunotherapy, and currently available immunotherapeutic agents are expensive and generally associated with considerable toxicity, calling for the identification of robust predictive biomarkers. The overall genomic configuration of malignant cells, potentially favoring the emergence of immunogenic tumor neoantigens, as well as specific mutations that compromise the ability of the immune system to recognize or eradicate the disease have been associated with differential sensitivity to immunotherapy in preclinical and clinical settings. Along similar lines, the type, density, localization, and functional orientation of the immune infiltrate have a prominent impact on anticancer immunity, as do features of the tumor microenvironment linked to the vasculature and stroma, and systemic factors including the composition of the gut microbiota. On the basis of these considerations, we outline the hallmarks of successful anticancer immunotherapy.","container-title":"Science Translational Medicine","DOI":"10.1126/scitranslmed.aat7807","ISSN":"1946-6234, 1946-6242","issue":"459","journalAbbreviation":"Sci. Transl. Med.","language":"en","page":"eaat7807","source":"DOI.org (Crossref)","title":"The hallmarks of successful anticancer immunotherapy","volume":"10","author":[{"family":"Galluzzi","given":"Lorenzo"},{"family":"Chan","given":"Timothy A."},{"family":"Kroemer","given":"Guido"},{"family":"Wolchok","given":"Jedd D."},{"family":"López-Soto","given":"Alejandro"}],"issued":{"date-parts":[["2018",9,19]]}}}],"schema":"https://github.com/citation-style-language/schema/raw/master/csl-citation.json"} </w:instrText>
      </w:r>
      <w:r>
        <w:fldChar w:fldCharType="separate"/>
      </w:r>
      <w:r w:rsidRPr="00EC6D06">
        <w:t>[15–17]</w:t>
      </w:r>
      <w:r>
        <w:fldChar w:fldCharType="end"/>
      </w:r>
      <w:r>
        <w:t xml:space="preserve">. </w:t>
      </w:r>
      <w:proofErr w:type="gramStart"/>
      <w:r w:rsidRPr="00EC6D06">
        <w:t>Because  lymphoma</w:t>
      </w:r>
      <w:proofErr w:type="gramEnd"/>
      <w:r w:rsidRPr="00EC6D06">
        <w:t xml:space="preserve"> cells </w:t>
      </w:r>
      <w:proofErr w:type="gramStart"/>
      <w:r w:rsidRPr="00EC6D06">
        <w:t>lack  a</w:t>
      </w:r>
      <w:proofErr w:type="gramEnd"/>
      <w:r w:rsidRPr="00EC6D06">
        <w:t xml:space="preserve"> baseline epithelial phenotype (e.g., E-cadherin expression and cellular polarity), they cannot undergo a "true" physical Epithelial-to-Mesenchymal Transition, but rather adopt an EMT-like phenotypic plasticity</w:t>
      </w:r>
      <w:r>
        <w:t xml:space="preserve"> </w:t>
      </w:r>
      <w:r>
        <w:fldChar w:fldCharType="begin"/>
      </w:r>
      <w:r>
        <w:instrText xml:space="preserve"> ADDIN ZOTERO_ITEM CSL_CITATION {"citationID":"6hZUDJCv","properties":{"unsorted":false,"formattedCitation":"[43]","plainCitation":"[43]","noteIndex":0},"citationItems":[{"id":765,"uris":["http://zotero.org/users/17472926/items/CMZLG6YU"],"itemData":{"id":765,"type":"article-journal","abstract":"Abstract\n            Epithelial–mesenchymal transition (EMT) encompasses dynamic changes in cellular organization from epithelial to mesenchymal phenotypes, which leads to functional changes in cell migration and invasion. EMT occurs in a diverse range of physiological and pathological conditions and is driven by a conserved set of inducing signals, transcriptional regulators and downstream effectors. With over 5,700 publications indexed by Web of Science in 2019 alone, research on EMT is expanding rapidly. This growing interest warrants the need for a consensus among researchers when referring to and undertaking research on EMT. This Consensus Statement, mediated by ‘the EMT International Association’ (TEMTIA), is the outcome of a 2-year-long discussion among EMT researchers and aims to both clarify the nomenclature and provide definitions and guidelines for EMT research in future publications. We trust that these guidelines will help to reduce misunderstanding and misinterpretation of research data generated in various experimental models and to promote cross-disciplinary collaboration to identify and address key open questions in this research field. While recognizing the importance of maintaining diversity in experimental approaches and conceptual frameworks, we emphasize that lasting contributions of EMT research to increasing our understanding of developmental processes and combatting cancer and other diseases depend on the adoption of a unified terminology to describe EMT.","container-title":"Nature Reviews Molecular Cell Biology","DOI":"10.1038/s41580-020-0237-9","ISSN":"1471-0072, 1471-0080","issue":"6","journalAbbreviation":"Nat Rev Mol Cell Biol","language":"en","page":"341-352","source":"DOI.org (Crossref)","title":"Guidelines and definitions for research on epithelial–mesenchymal transition","volume":"21","author":[{"family":"Yang","given":"Jing"},{"family":"Antin","given":"Parker"},{"family":"Berx","given":"Geert"},{"family":"Blanpain","given":"Cédric"},{"family":"Brabletz","given":"Thomas"},{"family":"Bronner","given":"Marianne"},{"family":"Campbell","given":"Kyra"},{"family":"Cano","given":"Amparo"},{"family":"Casanova","given":"Jordi"},{"family":"Christofori","given":"Gerhard"},{"family":"Dedhar","given":"Shoukat"},{"family":"Derynck","given":"Rik"},{"family":"Ford","given":"Heide L."},{"family":"Fuxe","given":"Jonas"},{"family":"García de Herreros","given":"Antonio"},{"family":"Goodall","given":"Gregory J."},{"family":"Hadjantonakis","given":"Anna-Katerina"},{"family":"Huang","given":"Ruby Y. J."},{"family":"Kalcheim","given":"Chaya"},{"family":"Kalluri","given":"Raghu"},{"family":"Kang","given":"Yibin"},{"family":"Khew-Goodall","given":"Yeesim"},{"family":"Levine","given":"Herbert"},{"family":"Liu","given":"Jinsong"},{"family":"Longmore","given":"Gregory D."},{"family":"Mani","given":"Sendurai A."},{"family":"Massagué","given":"Joan"},{"family":"Mayor","given":"Roberto"},{"family":"McClay","given":"David"},{"family":"Mostov","given":"Keith E."},{"family":"Newgreen","given":"Donald F."},{"family":"Nieto","given":"M. Angela"},{"family":"Puisieux","given":"Alain"},{"family":"Runyan","given":"Raymond"},{"family":"Savagner","given":"Pierre"},{"family":"Stanger","given":"Ben"},{"family":"Stemmler","given":"Marc P."},{"family":"Takahashi","given":"Yoshiko"},{"family":"Takeichi","given":"Masatoshi"},{"family":"Theveneau","given":"Eric"},{"family":"Thiery","given":"Jean Paul"},{"family":"Thompson","given":"Erik W."},{"family":"Weinberg","given":"Robert A."},{"family":"Williams","given":"Elizabeth D."},{"family":"Xing","given":"Jianhua"},{"family":"Zhou","given":"Binhua P."},{"family":"Sheng","given":"Guojun"},{"literal":"On behalf of the EMT International Association (TEMTIA)"}],"issued":{"date-parts":[["2020",6,10]]}}}],"schema":"https://github.com/citation-style-language/schema/raw/master/csl-citation.json"} </w:instrText>
      </w:r>
      <w:r>
        <w:fldChar w:fldCharType="separate"/>
      </w:r>
      <w:r w:rsidRPr="00EC6D06">
        <w:t>[43]</w:t>
      </w:r>
      <w:r>
        <w:fldChar w:fldCharType="end"/>
      </w:r>
      <w:r>
        <w:t xml:space="preserve">. </w:t>
      </w:r>
      <w:r w:rsidRPr="00EC6D06">
        <w:t xml:space="preserve">Notably, </w:t>
      </w:r>
      <w:r w:rsidRPr="00AB3F54">
        <w:rPr>
          <w:i/>
          <w:iCs/>
        </w:rPr>
        <w:t>WNT11</w:t>
      </w:r>
      <w:r w:rsidRPr="00EC6D06">
        <w:t xml:space="preserve"> was the only candidate that also stratified outcome in the independent first-line cohort, suggesting that it may reflect general lymphoma aggressiveness rather than a mechanism restricted to cellular immunotherapy. Recent evidence has linked </w:t>
      </w:r>
      <w:r w:rsidRPr="00AB3F54">
        <w:rPr>
          <w:i/>
          <w:iCs/>
        </w:rPr>
        <w:t>WNT11</w:t>
      </w:r>
      <w:r w:rsidRPr="00EC6D06">
        <w:t xml:space="preserve"> upregulation to specific genetic subsets, such as </w:t>
      </w:r>
      <w:r w:rsidRPr="00AB3F54">
        <w:rPr>
          <w:i/>
          <w:iCs/>
        </w:rPr>
        <w:t>CD79B</w:t>
      </w:r>
      <w:r w:rsidRPr="00EC6D06">
        <w:t>-mutated DLBCL, and to the activation of hypoxia-related signaling pathways</w:t>
      </w:r>
      <w:r>
        <w:t xml:space="preserve"> </w:t>
      </w:r>
      <w:r>
        <w:fldChar w:fldCharType="begin"/>
      </w:r>
      <w:r>
        <w:instrText xml:space="preserve"> ADDIN ZOTERO_ITEM CSL_CITATION {"citationID":"hB2OAdek","properties":{"unsorted":false,"formattedCitation":"[44]","plainCitation":"[44]","noteIndex":0},"citationItems":[{"id":769,"uris":["http://zotero.org/users/17472926/items/M34BR8PK"],"itemData":{"id":769,"type":"article-journal","abstract":"Background and Objectives: Diffuse large B-cell lymphomas (DLBCLs) are heterogeneous neoplasms. CD79B and MYD88 mutations are associated with the activated B-cell-like (ABC) subtype of DLBCL and often co-occur and lead to constitutive activation of the NF-κB pathway. Several different genetic classifications to date have recognized CD79B- and MYD88-mutated DLBCLs as a unique subtype with poor response to therapy and unfavorable survival. However, little is known about gene expression in DLBCLs with mutated CD79B (and MYD88) in comparison to their wild type counterparts. The objective of this study was to compare the gene expression in DLBCLs according to their CD79B mutational status. Methods: A total of 48 primary, treatment-naïve DLBCLs (CD79B-mutated: 35%/n = 17, CD79B-wild type: 65%/n = 31) were investigated using RNA expression profiling (770 genes), followed by immunohistochemical analysis of the up-regulated genes and survival analysis. Results: The gene expression analysis revealed that downstream of CD79B CARD11 and the NF-κB targets NFKBIZ, IL10, IL12A, PIM1 and BCL2A1 were up-regulated in CD79B-mutated DLBCLs. The strongest up-regulation was detected for ARNT2 and WNT11. Other up-regulated genes included the apoptosis-related BID and granzyme B, as well as genes of cell cycle regulation such as RUNX1, RUNX1T1 and RASGRF1. Up-regulation was also found for IL7, STAT3, MLLT4, CD14 and the HSP90B1 subunit. TP53 mutation showed an association with poorer overall survival in a secondary analysis, consistent with prior reports, while survival by CD79B/MYD88 mutation status and the differentially expressed genes showed no significant differences in this cohort. Conclusions: In conclusion, the current study identified novel up-regulated genes in CD79B-mutated DLBCLs beyond NF-κB pathway signaling, which may contribute to a better definition of potential therapeutic targets and further improves the characterization of this distinct and aggressive DLBCL subgroup.","container-title":"Journal of Personalized Medicine","DOI":"10.3390/jpm15110548","ISSN":"2075-4426","issue":"11","journalAbbreviation":"JPM","language":"en","page":"548","source":"DOI.org (Crossref)","title":"Gene Expression Profiling Provides an Improved Characterization of CD79B-Mutated Diffuse Large B-Cell Lymphomas","volume":"15","author":[{"family":"Grossmann","given":"Luis"},{"family":"Jagla","given":"Wolfgang"},{"family":"Bettstetter","given":"Marcus"},{"family":"Bertz","given":"Simone"},{"family":"Schwarz-Furlan","given":"Stephan"},{"family":"Richter","given":"Thomas"},{"family":"Dechow","given":"Tobias"},{"family":"Decker","given":"Thomas"},{"family":"Dreyling","given":"Martin"},{"family":"Sotlar","given":"Karl"},{"family":"Bartsch","given":"Harald"},{"family":"Hartmann","given":"Arndt"},{"family":"Honecker","given":"Julius"},{"family":"Gaumann","given":"Andreas"}],"issued":{"date-parts":[["2025",11,10]]}}}],"schema":"https://github.com/citation-style-language/schema/raw/master/csl-citation.json"} </w:instrText>
      </w:r>
      <w:r>
        <w:fldChar w:fldCharType="separate"/>
      </w:r>
      <w:r w:rsidRPr="00EC6D06">
        <w:t>[44]</w:t>
      </w:r>
      <w:r>
        <w:fldChar w:fldCharType="end"/>
      </w:r>
      <w:r>
        <w:t xml:space="preserve">. </w:t>
      </w:r>
      <w:r w:rsidRPr="00EC6D06">
        <w:t xml:space="preserve">Hypoxia is a well-established driver of EMT-like phenotypic plasticity and immune exclusion in the tumor microenvironment. In our cohorts, the adverse prognostic value of </w:t>
      </w:r>
      <w:r w:rsidRPr="00AB3F54">
        <w:rPr>
          <w:i/>
          <w:iCs/>
        </w:rPr>
        <w:t>WNT11</w:t>
      </w:r>
      <w:r w:rsidRPr="00EC6D06">
        <w:t xml:space="preserve"> was maintained across broad clinical settings, suggesting that its overexpression potentially driven by hypoxic adaptation acts as a general mechanism of tissue remodeling and immune evasion, rather than an artifact restricted to a single genetic subtype.</w:t>
      </w:r>
    </w:p>
    <w:p w14:paraId="77D495C0" w14:textId="26010286" w:rsidR="00EC6D06" w:rsidRDefault="00EC6D06" w:rsidP="000852E9">
      <w:pPr>
        <w:pStyle w:val="MDPI31text"/>
      </w:pPr>
      <w:r w:rsidRPr="00EC6D06">
        <w:t xml:space="preserve">Conversely, </w:t>
      </w:r>
      <w:r w:rsidRPr="00AB3F54">
        <w:rPr>
          <w:i/>
          <w:iCs/>
        </w:rPr>
        <w:t>IRF8</w:t>
      </w:r>
      <w:r w:rsidRPr="00EC6D06">
        <w:t xml:space="preserve">, </w:t>
      </w:r>
      <w:r w:rsidRPr="00AB3F54">
        <w:rPr>
          <w:i/>
          <w:iCs/>
        </w:rPr>
        <w:t>LY9</w:t>
      </w:r>
      <w:r w:rsidRPr="00EC6D06">
        <w:t xml:space="preserve">, </w:t>
      </w:r>
      <w:r w:rsidRPr="00AB3F54">
        <w:rPr>
          <w:i/>
          <w:iCs/>
        </w:rPr>
        <w:t>BTLA</w:t>
      </w:r>
      <w:r w:rsidRPr="00EC6D06">
        <w:t xml:space="preserve">, </w:t>
      </w:r>
      <w:r w:rsidRPr="00AB3F54">
        <w:rPr>
          <w:i/>
          <w:iCs/>
        </w:rPr>
        <w:t>HLA-DOB</w:t>
      </w:r>
      <w:r w:rsidRPr="00EC6D06">
        <w:t xml:space="preserve">, and canonical B-cell markers </w:t>
      </w:r>
      <w:proofErr w:type="gramStart"/>
      <w:r w:rsidRPr="00EC6D06">
        <w:t>defined</w:t>
      </w:r>
      <w:proofErr w:type="gramEnd"/>
      <w:r w:rsidRPr="00EC6D06">
        <w:t xml:space="preserve"> a transcriptional state associated with more favorable outcomes after </w:t>
      </w:r>
      <w:proofErr w:type="spellStart"/>
      <w:r w:rsidRPr="00EC6D06">
        <w:t>axi</w:t>
      </w:r>
      <w:proofErr w:type="spellEnd"/>
      <w:r w:rsidRPr="00EC6D06">
        <w:t xml:space="preserve">-cel. </w:t>
      </w:r>
      <w:r w:rsidRPr="00AB3F54">
        <w:rPr>
          <w:i/>
          <w:iCs/>
        </w:rPr>
        <w:t>IRF8</w:t>
      </w:r>
      <w:r w:rsidRPr="00EC6D06">
        <w:t xml:space="preserve"> provides a biologically plausible link between maintenance of B-cell identity and immune competence because it regulates lymphoid differentiation and interferon-responsive programs</w:t>
      </w:r>
      <w:r>
        <w:t xml:space="preserve"> </w:t>
      </w:r>
      <w:r>
        <w:fldChar w:fldCharType="begin"/>
      </w:r>
      <w:r>
        <w:instrText xml:space="preserve"> ADDIN ZOTERO_ITEM CSL_CITATION {"citationID":"AF2CwLiS","properties":{"unsorted":false,"formattedCitation":"[18,45]","plainCitation":"[18,45]","noteIndex":0},"citationItems":[{"id":686,"uris":["http://zotero.org/users/17472926/items/WM3J47ZE"],"itemData":{"id":686,"type":"article-journal","abstract":"The ability of the immune system to eliminate and shape the\nimmunogenicity of tumors defines the process of cancer immunoediting. Immunotherapies such as those\nthat target immune checkpoint molecules can be used to augment immune-mediated\nelimination of tumors and have resulted in durable responses in cancer patients\nthat did not respond to previous treatments. However, only a subset of patients\nbenefit from immunotherapy and more knowledge about what is required for\nsuccessful treatment is needed–. While\nthe role of tumor neoantigen-specific CD8+ T cells in tumor rejection\nis well established–, the roles played by other T\ncell subsets have received less attention. Here we show spontaneous and\nimmunotherapy-induced anti-tumor responses require the activity of both tumor\nantigen specific CD8+ and CD4+ T cells, even in tumors\nthat do not express MHC class II. Additionally, tumor cell expression of MHC\nclass II-restricted antigens is required at the site of successful rejection,\nindicating that CD4+ T cell activation must also occur in the tumor\nmicroenvironment. These findings suggest that MHC class II-restricted\nneoantigens have a key function in the anti-tumor response that is\nnonoverlapping with that of MHC class I-restricted neoantigens and therefore\nneed to be considered when identifying patients who will most benefit from\nimmunotherapy.","container-title":"Nature","DOI":"10.1038/s41586-019-1671-8","ISSN":"0028-0836","issue":"7780","journalAbbreviation":"Nature","page":"696-701","PMID":"31645760","PMCID":"PMC6858572","source":"PubMed Central","title":"MHC-II neoantigens shape tumor immunity and response to immunotherapy","volume":"574","author":[{"family":"Alspach","given":"Elise"},{"family":"Lussier","given":"Danielle M."},{"family":"Miceli","given":"Alexander P."},{"family":"Kizhvatov","given":"Ilya"},{"family":"DuPage","given":"Michel"},{"family":"Luoma","given":"Adrienne M."},{"family":"Meng","given":"Wei"},{"family":"Lichti","given":"Cheryl F."},{"family":"Esaulova","given":"Ekaterina"},{"family":"Vomund","given":"Anthony N."},{"family":"Runci","given":"Daniele"},{"family":"Ward","given":"Jeffrey P."},{"family":"Gubin","given":"Matthew M."},{"family":"Medrano","given":"Ruan F.V."},{"family":"Arthur","given":"Cora D."},{"family":"White","given":"J. Michael"},{"family":"Sheehan","given":"Kathleen C.F."},{"family":"Chen","given":"Alex"},{"family":"Wucherpfennig","given":"Kai W."},{"family":"Jacks","given":"Tyler"},{"family":"Unanue","given":"Emil R."},{"family":"Artyomov","given":"Maxim N."},{"family":"Schreiber","given":"Robert D."}],"issued":{"date-parts":[["2019",10]]}}},{"id":763,"uris":["http://zotero.org/users/17472926/items/NLHA4WQY"],"itemData":{"id":763,"type":"article-journal","abstract":"The interferon regulatory factor (IRF) family, consisting of nine members in mammals, was identified in the late 1980s in the context of research into the type I interferon system. Subsequent studies over the past two decades have revealed the versatile and critical functions performed by this transcription factor family. Indeed, many IRF members play central roles in the cellular differentiation of hematopoietic cells and in the regulation of gene expression in response to pathogen-derived danger signals. In particular, the advances made in understanding the immunobiology of Toll-like and other pattern-recognition receptors have recently generated new momentum for the study of IRFs. Moreover, the role of several IRF family members in the regulation of the cell cycle and apoptosis has important implications for understanding susceptibility to and progression of several cancers.","container-title":"Annual Review of Immunology","DOI":"10.1146/annurev.immunol.26.021607.090400","ISSN":"0732-0582, 1545-3278","issue":"1","journalAbbreviation":"Annu. Rev. Immunol.","language":"en","page":"535-584","source":"DOI.org (Crossref)","title":"The IRF Family Transcription Factors in Immunity and Oncogenesis","volume":"26","author":[{"family":"Tamura","given":"Tomohiko"},{"family":"Yanai","given":"Hideyuki"},{"family":"Savitsky","given":"David"},{"family":"Taniguchi","given":"Tadatsugu"}],"issued":{"date-parts":[["2008",4,1]]}}}],"schema":"https://github.com/citation-style-language/schema/raw/master/csl-citation.json"} </w:instrText>
      </w:r>
      <w:r>
        <w:fldChar w:fldCharType="separate"/>
      </w:r>
      <w:r w:rsidRPr="00EC6D06">
        <w:t>[18,45]</w:t>
      </w:r>
      <w:r>
        <w:fldChar w:fldCharType="end"/>
      </w:r>
      <w:r>
        <w:t xml:space="preserve">. </w:t>
      </w:r>
      <w:r w:rsidRPr="00EC6D06">
        <w:t xml:space="preserve">The favorable association of </w:t>
      </w:r>
      <w:r w:rsidRPr="00AB3F54">
        <w:rPr>
          <w:i/>
          <w:iCs/>
        </w:rPr>
        <w:t>BTLA</w:t>
      </w:r>
      <w:r w:rsidRPr="00EC6D06">
        <w:t xml:space="preserve">, despite its conventional classification as an inhibitory receptor, illustrates the limitations of assigning function from a single marker in bulk tissue. </w:t>
      </w:r>
      <w:r w:rsidRPr="00AB3F54">
        <w:rPr>
          <w:i/>
          <w:iCs/>
        </w:rPr>
        <w:t>BTLA</w:t>
      </w:r>
      <w:r w:rsidRPr="00EC6D06">
        <w:t xml:space="preserve"> expression may identify a differentiated lymphoid compartment or a less terminally differentiated, memory-like immune state with greater proliferative capacity and persistence</w:t>
      </w:r>
      <w:r>
        <w:t xml:space="preserve"> </w:t>
      </w:r>
      <w:r>
        <w:fldChar w:fldCharType="begin"/>
      </w:r>
      <w:r>
        <w:instrText xml:space="preserve"> ADDIN ZOTERO_ITEM CSL_CITATION {"citationID":"pPpH52dW","properties":{"unsorted":false,"formattedCitation":"[46,47]","plainCitation":"[46,47]","noteIndex":0},"citationItems":[{"id":683,"uris":["http://zotero.org/users/17472926/items/EWFLZAYE"],"itemData":{"id":683,"type":"article-journal","abstract":"Purpose: Adoptive T-cell therapy using autologous tumor-infiltrating lymphocytes (TIL) has shown an overall clinical response rate 40%–50% in metastatic melanoma patients. BTLA (B-and-T lymphocyte associated) expression on transferred CD8+ TILs was associated with better clinical outcome. The suppressive function of the ITIM and ITSM motifs of BTLA is well described. Here, we sought to determine the functional characteristics of the CD8+BTLA+TIL subset and define the contribution of the Grb2 motif of BTLA in T-cell costimulation.Experimental Design: We determined the functional role and downstream signal of BTLA in both human CD8+ TILs and mouse CD8+ T cells. Functional assays were used including single-cell analysis, reverse-phase protein array (RPPA), antigen-specific vaccination models with adoptively transferred TCR-transgenic T cells as well as patient-derived xenograft (PDX) model using immunodeficient NOD-scid IL2Rgammanull (NSG) tumor-bearing mice treated with autologous TILs.Results: CD8+BTLA− TILs could not control tumor growth in vivo as well as their BTLA+ counterpart and antigen-specific CD8+BTLA− T cells had impaired recall response to a vaccine. However, CD8+BTLA+ TILs displayed improved survival following the killing of a tumor target and heightened “serial killing” capacity. Using mutants of BTLA signaling motifs, we uncovered a costimulatory function mediated by Grb2 through enhancing the secretion of IL-2 and the activation of Src after TCR stimulation.Conclusions: Our data portrays BTLA as a molecule with the singular ability to provide both costimulatory and coinhibitory signals to activated CD8+ T cells, resulting in extended survival, improved tumor control, and the development of a functional recall response. Clin Cancer Res; 23(20); 6151–64. ©2017 AACR.","container-title":"Clinical Cancer Research","DOI":"10.1158/1078-0432.CCR-16-1217","ISSN":"1078-0432","issue":"20","journalAbbreviation":"Clin Cancer Res","page":"6151-6164","source":"Silverchair","title":"Multifaceted Role of BTLA in the Control of CD8+ T-cell Fate after Antigen Encounter","volume":"23","author":[{"family":"Ritthipichai","given":"Krit"},{"family":"Haymaker","given":"Cara L."},{"family":"Martinez","given":"Melisa"},{"family":"Aschenbrenner","given":"Andrew"},{"family":"Yi","given":"Xiaohui"},{"family":"Zhang","given":"Minying"},{"family":"Kale","given":"Charuta"},{"family":"Vence","given":"Luis M."},{"family":"Roszik","given":"Jason"},{"family":"Hailemichael","given":"Yared"},{"family":"Overwijk","given":"Willem W."},{"family":"Varadarajan","given":"Navin"},{"family":"Nurieva","given":"Roza"},{"family":"Radvanyi","given":"Laszlo G."},{"family":"Hwu","given":"Patrick"},{"family":"Bernatchez","given":"Chantale"}],"issued":{"date-parts":[["2017",10,12]]}}},{"id":681,"uris":["http://zotero.org/users/17472926/items/VZ8MSJL5"],"itemData":{"id":681,"type":"article-journal","abstract":"In a recent adoptive cell therapy (ACT) clinical trial using autologous tumor-infiltrating lymphocytes (TILs) in patients with metastatic melanoma, we found an association between CD8+ T cells expressing the inhibitory receptor B- and T-lymphocyte attenuator (BTLA) and clinical response. Here, we further characterized this CD8+BTLA+ TIL subset and their CD8+BTLA− counterparts. We found that the CD8+ BTLA+ TILs had an increased response to IL-2, were less-differentiated effector-memory (TEM) cells, and persisted longer in vivo after infusion. In contrast, CD8+BTLA− TILs failed to proliferate and expressed genes associated with T-cell deletion/tolerance. Paradoxically, activation of BTLA signaling by its ligand, herpes virus entry mediator (HVEM), inhibited T-cell division and cytokine production, but also activated the Akt/PKB pathway thus protecting CD8+BTLA+ TILs from apoptosis. Our results point to a new role of BTLA as a useful T-cell differentiation marker in ACT and a dual signaling molecule that curtails T-cell activation while also conferring a survival advantage for CD8+ T cells. These attributes may explain our previous observation that BTLA expression on CD8+ TILs correlates with clinical response to adoptive T-cell therapy in metastatic melanoma.","container-title":"OncoImmunology","DOI":"10.1080/2162402X.2015.1014246","ISSN":"null","issue":"8","note":"_eprint: https://doi.org/10.1080/2162402X.2015.1014246","page":"e1014246","PMID":"26405566","publisher":"Taylor &amp; Francis","source":"Taylor and Francis+NEJM","title":"BTLA marks a less-differentiated tumor-infiltrating lymphocyte subset in melanoma with enhanced survival properties","volume":"4","author":[{"family":"Haymaker","given":"Cara L"},{"family":"Wu","given":"Richard C"},{"family":"Ritthipichai","given":"Krit"},{"family":"Bernatchez","given":"Chantale"},{"family":"Forget","given":"Marie-Andrée"},{"family":"Chen","given":"Jie Qing"},{"family":"Liu","given":"Hui"},{"family":"Wang","given":"Ena"},{"family":"Marincola","given":"Francesco"},{"family":"Hwu","given":"Patrick"},{"family":"Radvanyi","given":"Laszlo G"}],"issued":{"date-parts":[["2015",8,3]]}}}],"schema":"https://github.com/citation-style-language/schema/raw/master/csl-citation.json"} </w:instrText>
      </w:r>
      <w:r>
        <w:fldChar w:fldCharType="separate"/>
      </w:r>
      <w:r w:rsidRPr="00EC6D06">
        <w:t>[46,47]</w:t>
      </w:r>
      <w:r>
        <w:fldChar w:fldCharType="end"/>
      </w:r>
      <w:r>
        <w:t xml:space="preserve">, </w:t>
      </w:r>
      <w:r w:rsidRPr="00EC6D06">
        <w:t xml:space="preserve">More broadly, these results suggest that response depends less on the estimated quantity of immune or stromal cells than on the functional state of the </w:t>
      </w:r>
      <w:r w:rsidRPr="00EC6D06">
        <w:lastRenderedPageBreak/>
        <w:t>malignant and immune compartments. However, the absence of significant differences by MCP-counter or IO360 deconvolution does not exclude contributions from rare populations, spatial organization, or cell-cell interactions that are not captured by bulk estimates.</w:t>
      </w:r>
    </w:p>
    <w:p w14:paraId="09782F51" w14:textId="7E564EE3" w:rsidR="00EC6D06" w:rsidRDefault="00EC6D06" w:rsidP="000852E9">
      <w:pPr>
        <w:pStyle w:val="MDPI31text"/>
      </w:pPr>
      <w:r w:rsidRPr="00EC6D06">
        <w:t xml:space="preserve">The cross-cohort analyses strengthen the clinical relevance of the 16-gene panel by showing that most associations observed in the ZUMA-7 </w:t>
      </w:r>
      <w:proofErr w:type="spellStart"/>
      <w:r w:rsidRPr="00EC6D06">
        <w:t>axi</w:t>
      </w:r>
      <w:proofErr w:type="spellEnd"/>
      <w:r w:rsidRPr="00EC6D06">
        <w:t xml:space="preserve">-cel arm were not reproduced in the ZUMA-7 standard-of-care arm or in TCGA-DLBC. This pattern supports treatment-context specificity and prioritizes the panel for further evaluation as a candidate predictive biomarker. Nevertheless, statistical significance in one treatment group and non-significance in another does not, by itself, demonstrate a differential treatment effect. Formal biomarker-by-treatment interaction testing within the randomized ZUMA-7 population, followed by validation in an independent </w:t>
      </w:r>
      <w:proofErr w:type="spellStart"/>
      <w:r w:rsidRPr="00EC6D06">
        <w:t>axi</w:t>
      </w:r>
      <w:proofErr w:type="spellEnd"/>
      <w:r w:rsidRPr="00EC6D06">
        <w:t xml:space="preserve">-cel-treated cohort, is needed before predictive specificity can be claimed. The survival analyses should also be interpreted </w:t>
      </w:r>
      <w:proofErr w:type="gramStart"/>
      <w:r w:rsidRPr="00EC6D06">
        <w:t>in light of</w:t>
      </w:r>
      <w:proofErr w:type="gramEnd"/>
      <w:r w:rsidRPr="00EC6D06">
        <w:t xml:space="preserve"> median-based dichotomization, evaluation of multiple candidate genes, and potential model overfitting relative to cohort size.</w:t>
      </w:r>
    </w:p>
    <w:p w14:paraId="2DA5F4B7" w14:textId="429BDD86" w:rsidR="00CB06A2" w:rsidRDefault="00EC6D06" w:rsidP="00EC6D06">
      <w:pPr>
        <w:pStyle w:val="MDPI31text"/>
      </w:pPr>
      <w:r w:rsidRPr="00EC6D06">
        <w:t xml:space="preserve">Several additional limitations warrant consideration. The study is a retrospective secondary analysis of trial datasets with differences in treatment line, prior exposure, sampling schedule, clinical end points, and response definitions, limiting direct biological comparisons between ZUMA-1 and ZUMA-7. The targeted transcriptomic platform restricts discovery to a predefined gene set, while bulk RNA measurements cannot assign transcripts to specific cell types or resolve intratumoral heterogeneity and spatial immune exclusion. Some differential-expression findings were based on exploratory unadjusted thresholds, and several pathway signals did not remain significant after correction for multiple testing. Moreover, transcript abundance does not establish protein expression or functional activity. Prospective validation, formal interaction analyses, and mechanistic experiments are therefore required. Single-cell and spatial transcriptomics, coupled with functional perturbation of candidate pathways such as </w:t>
      </w:r>
      <w:r w:rsidRPr="00AB3F54">
        <w:rPr>
          <w:i/>
          <w:iCs/>
        </w:rPr>
        <w:t>CCL20</w:t>
      </w:r>
      <w:r w:rsidRPr="00EC6D06">
        <w:t>-</w:t>
      </w:r>
      <w:r w:rsidRPr="00AB3F54">
        <w:rPr>
          <w:i/>
          <w:iCs/>
        </w:rPr>
        <w:t>CCR6</w:t>
      </w:r>
      <w:r w:rsidRPr="00EC6D06">
        <w:t xml:space="preserve">, </w:t>
      </w:r>
      <w:r w:rsidRPr="00AB3F54">
        <w:rPr>
          <w:i/>
          <w:iCs/>
        </w:rPr>
        <w:t>WNT</w:t>
      </w:r>
      <w:r w:rsidRPr="00EC6D06">
        <w:t xml:space="preserve"> signaling, and adhesion/remodeling programs, could clarify whether these signatures are causal mediators of resistance and identify rational combination strategies. Overall, the results support a model in which </w:t>
      </w:r>
      <w:proofErr w:type="spellStart"/>
      <w:r w:rsidRPr="00EC6D06">
        <w:t>axi</w:t>
      </w:r>
      <w:proofErr w:type="spellEnd"/>
      <w:r w:rsidRPr="00EC6D06">
        <w:t>-cel outcome reflects the balance between preserved B-cell lineage identity and the acquisition of immune-silent or plastic tissue-remodeling states, while providing a focused set of hypotheses for biological and clinical validation.</w:t>
      </w:r>
    </w:p>
    <w:p w14:paraId="6642225C" w14:textId="77777777" w:rsidR="00F443F6" w:rsidRPr="006F77DA" w:rsidRDefault="00F443F6" w:rsidP="000852E9">
      <w:pPr>
        <w:pStyle w:val="MDPI21heading1"/>
      </w:pPr>
      <w:r w:rsidRPr="006F77DA">
        <w:t>5. Conclusions</w:t>
      </w:r>
    </w:p>
    <w:p w14:paraId="122D01C2" w14:textId="7EC1E493" w:rsidR="00F443F6" w:rsidRDefault="00F062C1" w:rsidP="000852E9">
      <w:pPr>
        <w:pStyle w:val="MDPI31text"/>
      </w:pPr>
      <w:r w:rsidRPr="00F062C1">
        <w:t>Collectively, this study provides a valuable addition to understanding the mechanisms of resistance to anti-CD19 CAR T-cell therapy (</w:t>
      </w:r>
      <w:proofErr w:type="spellStart"/>
      <w:r w:rsidR="00262E87">
        <w:t>a</w:t>
      </w:r>
      <w:r w:rsidRPr="00F062C1">
        <w:t>xi</w:t>
      </w:r>
      <w:proofErr w:type="spellEnd"/>
      <w:r w:rsidRPr="00F062C1">
        <w:t xml:space="preserve">-cel) in DLBCL. Our findings indicate that therapeutic failure is not primarily dictated by the isolated loss of the CD19 antigen or pre-existing immune exhaustion within the tumor microenvironment. Instead, sensitivity to </w:t>
      </w:r>
      <w:proofErr w:type="spellStart"/>
      <w:r w:rsidR="00262E87">
        <w:t>a</w:t>
      </w:r>
      <w:r w:rsidRPr="00F062C1">
        <w:t>xi</w:t>
      </w:r>
      <w:proofErr w:type="spellEnd"/>
      <w:r w:rsidRPr="00F062C1">
        <w:t>-cel relies on the overall preservation of B-cell lineage phenotypic integrity (</w:t>
      </w:r>
      <w:r w:rsidRPr="00AB3F54">
        <w:rPr>
          <w:i/>
          <w:iCs/>
        </w:rPr>
        <w:t>CD19</w:t>
      </w:r>
      <w:r w:rsidRPr="00F062C1">
        <w:t xml:space="preserve">, </w:t>
      </w:r>
      <w:r w:rsidRPr="00AB3F54">
        <w:rPr>
          <w:i/>
          <w:iCs/>
        </w:rPr>
        <w:t>MS4A1</w:t>
      </w:r>
      <w:r w:rsidRPr="00F062C1">
        <w:t xml:space="preserve">, </w:t>
      </w:r>
      <w:r w:rsidRPr="00AB3F54">
        <w:rPr>
          <w:i/>
          <w:iCs/>
        </w:rPr>
        <w:t>TNFRSF17</w:t>
      </w:r>
      <w:r w:rsidRPr="00F062C1">
        <w:t>) and the functional competence of immune signaling (</w:t>
      </w:r>
      <w:r w:rsidRPr="00AB3F54">
        <w:rPr>
          <w:i/>
          <w:iCs/>
        </w:rPr>
        <w:t>IRF8</w:t>
      </w:r>
      <w:r w:rsidRPr="00F062C1">
        <w:t xml:space="preserve">, </w:t>
      </w:r>
      <w:r w:rsidRPr="00AB3F54">
        <w:rPr>
          <w:i/>
          <w:iCs/>
        </w:rPr>
        <w:t>HLA</w:t>
      </w:r>
      <w:r w:rsidRPr="00F062C1">
        <w:t>-</w:t>
      </w:r>
      <w:r w:rsidRPr="00AB3F54">
        <w:rPr>
          <w:i/>
          <w:iCs/>
        </w:rPr>
        <w:t>DOB</w:t>
      </w:r>
      <w:r w:rsidRPr="00F062C1">
        <w:t xml:space="preserve">, </w:t>
      </w:r>
      <w:r w:rsidRPr="00AB3F54">
        <w:rPr>
          <w:i/>
          <w:iCs/>
        </w:rPr>
        <w:t>BTLA</w:t>
      </w:r>
      <w:r w:rsidRPr="00F062C1">
        <w:t xml:space="preserve">). Conversely, early therapeutic escape is driven by intrinsic biological determinants of the malignant clone, including the loss of lymphoid differentiation, the activation of tissue remodeling and epithelial-mesenchymal transition-like programs (EMT-like; mediated by </w:t>
      </w:r>
      <w:r w:rsidRPr="00AB3F54">
        <w:rPr>
          <w:i/>
          <w:iCs/>
        </w:rPr>
        <w:t>CDH2</w:t>
      </w:r>
      <w:r w:rsidRPr="00F062C1">
        <w:t xml:space="preserve"> and </w:t>
      </w:r>
      <w:r w:rsidRPr="00AB3F54">
        <w:rPr>
          <w:i/>
          <w:iCs/>
        </w:rPr>
        <w:t>NCAM1</w:t>
      </w:r>
      <w:r w:rsidRPr="00F062C1">
        <w:t>), immune-excluding chemotaxis (</w:t>
      </w:r>
      <w:r w:rsidRPr="00AB3F54">
        <w:rPr>
          <w:i/>
          <w:iCs/>
        </w:rPr>
        <w:t>CCL20</w:t>
      </w:r>
      <w:r w:rsidRPr="00F062C1">
        <w:t>), and a baseline hyperaggressive state (</w:t>
      </w:r>
      <w:r w:rsidRPr="00AB3F54">
        <w:rPr>
          <w:i/>
          <w:iCs/>
        </w:rPr>
        <w:t>WNT11</w:t>
      </w:r>
      <w:r w:rsidRPr="00F062C1">
        <w:t>).</w:t>
      </w:r>
    </w:p>
    <w:p w14:paraId="6E9FAEEB" w14:textId="2FEDE62A" w:rsidR="00F443F6" w:rsidRPr="006F77DA" w:rsidRDefault="00F062C1" w:rsidP="00393EF3">
      <w:pPr>
        <w:pStyle w:val="MDPI31text"/>
      </w:pPr>
      <w:r w:rsidRPr="00F062C1">
        <w:t xml:space="preserve">Orthogonal validation confirmed that this transcriptomic signature possesses strict predictive specificity for cellular immunotherapy, distinguishing it from agnostic resistance markers to conventional chemotherapy. From a translational perspective, characterizing these evasion axes helps to better understand the heterogeneity of CAR T-cell response, establishing a rational foundation for pre-treatment risk stratification and providing promising biological targets for the development of combination strategies as </w:t>
      </w:r>
      <w:r w:rsidRPr="00F062C1">
        <w:lastRenderedPageBreak/>
        <w:t>well as the design of next-generation CAR T-cells engineered to overcome the refractory tumor microenvironment.</w:t>
      </w:r>
    </w:p>
    <w:p w14:paraId="57132F33" w14:textId="65074197" w:rsidR="00393EF3" w:rsidRDefault="00F443F6" w:rsidP="00525828">
      <w:pPr>
        <w:pStyle w:val="MDPI62backmatter"/>
        <w:spacing w:before="240"/>
        <w:rPr>
          <w:b/>
        </w:rPr>
      </w:pPr>
      <w:r w:rsidRPr="006F77DA">
        <w:rPr>
          <w:b/>
        </w:rPr>
        <w:t>Supplementary Materials:</w:t>
      </w:r>
      <w:r w:rsidR="00064483" w:rsidRPr="006F77DA">
        <w:rPr>
          <w:b/>
        </w:rPr>
        <w:t xml:space="preserve"> </w:t>
      </w:r>
      <w:r w:rsidR="00393EF3" w:rsidRPr="006F77DA">
        <w:t xml:space="preserve">The following </w:t>
      </w:r>
      <w:r w:rsidR="00393EF3">
        <w:t>supporting information can be downloaded at</w:t>
      </w:r>
      <w:r w:rsidR="00393EF3" w:rsidRPr="006F77DA">
        <w:t xml:space="preserve"> https://www.mdpi.com/article/doi/s1, Figure S1:</w:t>
      </w:r>
      <w:r w:rsidR="00393EF3">
        <w:t xml:space="preserve"> </w:t>
      </w:r>
      <w:r w:rsidR="00F170C8" w:rsidRPr="00F170C8">
        <w:t xml:space="preserve">B-cell lineage abundance determined by deconvolution. (A) B-cell lineage abundance at baseline (pre-infusion) in the </w:t>
      </w:r>
      <w:proofErr w:type="spellStart"/>
      <w:r w:rsidR="00262E87">
        <w:t>a</w:t>
      </w:r>
      <w:r w:rsidR="00F170C8" w:rsidRPr="00F170C8">
        <w:t>xi</w:t>
      </w:r>
      <w:proofErr w:type="spellEnd"/>
      <w:r w:rsidR="00F170C8" w:rsidRPr="00F170C8">
        <w:t>-cel-treated cohort from the ZUMA-7 study, computationally estimated using the MCP-counter (Microenvironment Cell Populations-counter) algorithm. (B) B-cell lineage abundance in the standard-of-care (SOC) control arm of the ZUMA-7 study. (C) Baseline B-cell lineage abundance in the ZUMA-1 study cohort, comprising previously treated patients, stratified by clinical response (CR vs. Non-CR). (D) Paired longitudinal analysis comparing B-cell lineage abundance between pre-infusion (baseline) and post-CAR-T treatment biopsies in patients from the ZUMA-1 study. Cell abundance scores are presented on a Log2 scale. Statistical differences were assessed using the Wilcoxon rank-sum test (A-C) and the Wilcoxon signed-rank test for paired samples (D), with Benjamini-Hochberg correction for False Discovery Rate (FDR). Boxplots overlaid on violin plots indicate the median and interquartile range. Overlaid scatter points represent individual patients, color-coded according to granular clinical classifications.</w:t>
      </w:r>
      <w:r w:rsidR="002C5209">
        <w:t xml:space="preserve"> </w:t>
      </w:r>
      <w:r w:rsidR="007E6B1B">
        <w:t xml:space="preserve">Table S1: </w:t>
      </w:r>
      <w:r w:rsidR="007E6B1B" w:rsidRPr="007E6B1B">
        <w:t>Statistical summary of the transcriptional profile for T-cell exhaustion and the antigen presentation (HLA) machinery. Statistical comparisons of the expression levels of key T-cell exhaustion markers and HLA machinery genes across the evaluated clinical cohorts. Details include the context of the empirical analysis (Cohort), the biological category and specific transcriptional target (Gene group and feature), as well as the clinical or temporal strata compared (group_1 and group_2). Comparisons assess durable clinical response (Sustained vs. Failure in ZUMA-7; CR vs. Non-CR in ZUMA-1) or longitudinal intra-patient evolution (Baseline vs. Post-CAR T). Nominal p-values (</w:t>
      </w:r>
      <w:proofErr w:type="spellStart"/>
      <w:r w:rsidR="007E6B1B" w:rsidRPr="007E6B1B">
        <w:t>p_value</w:t>
      </w:r>
      <w:proofErr w:type="spellEnd"/>
      <w:r w:rsidR="007E6B1B" w:rsidRPr="007E6B1B">
        <w:t>) were derived using non-parametric statistical testing (the Wilcoxon rank-sum/Mann-Whitney U test for independent groups, or the Wilcoxon signed-rank test for paired longitudinal samples). To ensure statistical rigor and preserve biological power, adjusted p-values (</w:t>
      </w:r>
      <w:proofErr w:type="spellStart"/>
      <w:r w:rsidR="007E6B1B" w:rsidRPr="007E6B1B">
        <w:t>padj_BH</w:t>
      </w:r>
      <w:proofErr w:type="spellEnd"/>
      <w:r w:rsidR="007E6B1B" w:rsidRPr="007E6B1B">
        <w:t xml:space="preserve"> and </w:t>
      </w:r>
      <w:proofErr w:type="spellStart"/>
      <w:r w:rsidR="007E6B1B" w:rsidRPr="007E6B1B">
        <w:t>label_padj</w:t>
      </w:r>
      <w:proofErr w:type="spellEnd"/>
      <w:r w:rsidR="007E6B1B" w:rsidRPr="007E6B1B">
        <w:t>) reflect the False Discovery Rate (FDR) correction via the Benjamini-Hochberg method, applied strictly and independently within each mechanistic panel (T-cell exhaustion and HLA).</w:t>
      </w:r>
      <w:r w:rsidR="007E6B1B">
        <w:t xml:space="preserve"> </w:t>
      </w:r>
      <w:r w:rsidR="001841EA">
        <w:t xml:space="preserve">Table S2: </w:t>
      </w:r>
      <w:r w:rsidR="001841EA" w:rsidRPr="001841EA">
        <w:t>Differential gene expression (DEG) analysis associated with clinical outcomes and longitudinal cellular evolution in the ZUMA-1 and ZUMA-7 cohorts. For each assessed transcript, the magnitude of biological change is reported as the Log2 Fold Change (</w:t>
      </w:r>
      <w:proofErr w:type="spellStart"/>
      <w:r w:rsidR="001841EA" w:rsidRPr="001841EA">
        <w:t>logFC</w:t>
      </w:r>
      <w:proofErr w:type="spellEnd"/>
      <w:r w:rsidR="001841EA" w:rsidRPr="001841EA">
        <w:t>), alongside its mean expression across all contrast samples (</w:t>
      </w:r>
      <w:proofErr w:type="spellStart"/>
      <w:r w:rsidR="001841EA" w:rsidRPr="001841EA">
        <w:t>AveExpr</w:t>
      </w:r>
      <w:proofErr w:type="spellEnd"/>
      <w:r w:rsidR="001841EA" w:rsidRPr="001841EA">
        <w:t>). Statistical inferences for each group comparison (contrast and comparison) are derived from empirical Bayes moderated t-statistics (t) and the log-odds of differential expression (B). Statistical significance is denoted by the nominal p-value (</w:t>
      </w:r>
      <w:proofErr w:type="spellStart"/>
      <w:proofErr w:type="gramStart"/>
      <w:r w:rsidR="001841EA" w:rsidRPr="001841EA">
        <w:t>P.Value</w:t>
      </w:r>
      <w:proofErr w:type="spellEnd"/>
      <w:proofErr w:type="gramEnd"/>
      <w:r w:rsidR="001841EA" w:rsidRPr="001841EA">
        <w:t>) and the adjusted p-value (</w:t>
      </w:r>
      <w:proofErr w:type="spellStart"/>
      <w:r w:rsidR="001841EA" w:rsidRPr="001841EA">
        <w:t>adj.</w:t>
      </w:r>
      <w:proofErr w:type="gramStart"/>
      <w:r w:rsidR="001841EA" w:rsidRPr="001841EA">
        <w:t>P.Val</w:t>
      </w:r>
      <w:proofErr w:type="spellEnd"/>
      <w:proofErr w:type="gramEnd"/>
      <w:r w:rsidR="001841EA" w:rsidRPr="001841EA">
        <w:t>) rigorously corrected for multiple comparisons using the Benjamini-Hochberg False Discovery Rate (FDR) control method. The definitive biological direction of transcriptional enrichment for each gene is explicitly summarized (</w:t>
      </w:r>
      <w:proofErr w:type="spellStart"/>
      <w:r w:rsidR="001841EA" w:rsidRPr="001841EA">
        <w:t>direction_RawP</w:t>
      </w:r>
      <w:proofErr w:type="spellEnd"/>
      <w:r w:rsidR="001841EA" w:rsidRPr="001841EA">
        <w:t>).</w:t>
      </w:r>
      <w:r w:rsidR="001841EA">
        <w:t xml:space="preserve"> </w:t>
      </w:r>
      <w:r w:rsidR="000006B8">
        <w:t xml:space="preserve">Table S3: </w:t>
      </w:r>
      <w:r w:rsidR="000006B8" w:rsidRPr="000006B8">
        <w:t>Gene Set Enrichment Analysis (GSEA) of Hallmark biological pathways across the ZUMA-1 and ZUMA-7 cohorts. Systemic assessment of functional pathways was performed using the Hallmark collection from the Molecular Signatures Database (</w:t>
      </w:r>
      <w:proofErr w:type="spellStart"/>
      <w:r w:rsidR="000006B8" w:rsidRPr="000006B8">
        <w:t>MSigDB</w:t>
      </w:r>
      <w:proofErr w:type="spellEnd"/>
      <w:r w:rsidR="000006B8" w:rsidRPr="000006B8">
        <w:t>), mapping globally dysregulated transcriptional programs according to baseline clinical outcomes (ZUMA-1 and ZUMA-7) and longitudinal intra-patient treatment dynamics (ZUMA-1 Time Point). For each evaluated biological pathway, the absolute Enrichment Score (ES) and the Normalized Enrichment Score (NES) are presented, reflecting the magnitude and direction of the transcriptional shift for a given clinical phenotype. The statistical significance of the directional enrichment is quantified by the empirical nominal p-value (</w:t>
      </w:r>
      <w:proofErr w:type="spellStart"/>
      <w:r w:rsidR="000006B8" w:rsidRPr="000006B8">
        <w:t>pval</w:t>
      </w:r>
      <w:proofErr w:type="spellEnd"/>
      <w:r w:rsidR="000006B8" w:rsidRPr="000006B8">
        <w:t>), accompanied by the computational log error estimate (log2err) and the adjusted p-value (</w:t>
      </w:r>
      <w:proofErr w:type="spellStart"/>
      <w:r w:rsidR="000006B8" w:rsidRPr="000006B8">
        <w:t>padj</w:t>
      </w:r>
      <w:proofErr w:type="spellEnd"/>
      <w:r w:rsidR="000006B8" w:rsidRPr="000006B8">
        <w:t>) via False Discovery Rate (FDR) control using the Benjamini-Hochberg method. The comprehensiveness of each active gene network is indicated by the number of detected transcripts (size), stratified by the corresponding source cohort (Cohort).</w:t>
      </w:r>
      <w:r w:rsidR="000006B8">
        <w:t xml:space="preserve"> </w:t>
      </w:r>
      <w:r w:rsidR="007C278C">
        <w:t xml:space="preserve">Table S4: </w:t>
      </w:r>
      <w:r w:rsidR="007C278C" w:rsidRPr="007C278C">
        <w:t xml:space="preserve">Differential expression analysis of global spatial tumor microenvironment signatures (IO 360 platform) in the ZUMA-7 cohort. The analyzed variables (Feature) correspond to robust algorithmic scores derived from the </w:t>
      </w:r>
      <w:r w:rsidR="007C278C" w:rsidRPr="007C278C">
        <w:lastRenderedPageBreak/>
        <w:t xml:space="preserve">NanoString Tumor Signaling 360 platform (identified by the .IO360 suffix). These scores encompass broad macro-environmental biological modules, including myeloid inflammation, cell proliferation, hypoxia signaling, and global quantification of immune populations. The table details the magnitude of the enrichment difference (Log2 Fold Change, </w:t>
      </w:r>
      <w:proofErr w:type="spellStart"/>
      <w:r w:rsidR="007C278C" w:rsidRPr="007C278C">
        <w:t>logFC</w:t>
      </w:r>
      <w:proofErr w:type="spellEnd"/>
      <w:r w:rsidR="007C278C" w:rsidRPr="007C278C">
        <w:t>), the cohort mean expression (</w:t>
      </w:r>
      <w:proofErr w:type="spellStart"/>
      <w:r w:rsidR="007C278C" w:rsidRPr="007C278C">
        <w:t>AveExpr</w:t>
      </w:r>
      <w:proofErr w:type="spellEnd"/>
      <w:r w:rsidR="007C278C" w:rsidRPr="007C278C">
        <w:t>), the empirical moderated t-statistic (t), and the differential log-odds (B). Significance was evaluated via the nominal p-value (</w:t>
      </w:r>
      <w:proofErr w:type="spellStart"/>
      <w:proofErr w:type="gramStart"/>
      <w:r w:rsidR="007C278C" w:rsidRPr="007C278C">
        <w:t>P.Value</w:t>
      </w:r>
      <w:proofErr w:type="spellEnd"/>
      <w:proofErr w:type="gramEnd"/>
      <w:r w:rsidR="007C278C" w:rsidRPr="007C278C">
        <w:t>) and subsequently corrected for multiple testing scenarios using the Benjamini-Hochberg FDR method (</w:t>
      </w:r>
      <w:proofErr w:type="spellStart"/>
      <w:r w:rsidR="007C278C" w:rsidRPr="007C278C">
        <w:t>adj.</w:t>
      </w:r>
      <w:proofErr w:type="gramStart"/>
      <w:r w:rsidR="007C278C" w:rsidRPr="007C278C">
        <w:t>P.Val</w:t>
      </w:r>
      <w:proofErr w:type="spellEnd"/>
      <w:proofErr w:type="gramEnd"/>
      <w:r w:rsidR="007C278C" w:rsidRPr="007C278C">
        <w:t>).</w:t>
      </w:r>
      <w:r w:rsidR="007C278C">
        <w:t xml:space="preserve"> </w:t>
      </w:r>
      <w:r w:rsidR="002E0430">
        <w:t xml:space="preserve">Figure S2: </w:t>
      </w:r>
      <w:r w:rsidR="002E0430" w:rsidRPr="002E0430">
        <w:t xml:space="preserve">Longitudinal transcriptomic evolution and mechanisms of acquired resistance following </w:t>
      </w:r>
      <w:proofErr w:type="spellStart"/>
      <w:r w:rsidR="00262E87">
        <w:t>a</w:t>
      </w:r>
      <w:r w:rsidR="002E0430" w:rsidRPr="002E0430">
        <w:t>xi</w:t>
      </w:r>
      <w:proofErr w:type="spellEnd"/>
      <w:r w:rsidR="002E0430" w:rsidRPr="002E0430">
        <w:t xml:space="preserve">-cel therapy in the ZUMA-1 study. (A) Volcano plot </w:t>
      </w:r>
      <w:proofErr w:type="gramStart"/>
      <w:r w:rsidR="002E0430" w:rsidRPr="002E0430">
        <w:t>illustrating</w:t>
      </w:r>
      <w:proofErr w:type="gramEnd"/>
      <w:r w:rsidR="002E0430" w:rsidRPr="002E0430">
        <w:t xml:space="preserve"> the paired analysis of differential gene expression between post-CAR T and baseline samples. Significance is highlighted based on an unadjusted p-value &lt; 0.05 and an absolute log2 fold change &gt; 0.5 (dashed lines). Genes with increased expression following CAR T infusion are represented in red, while those with reduced expression are shown in blue. (B) Standard Gene Set Enrichment Analysis (GSEA) plots for key </w:t>
      </w:r>
      <w:proofErr w:type="spellStart"/>
      <w:r w:rsidR="002E0430" w:rsidRPr="002E0430">
        <w:t>MSigDB</w:t>
      </w:r>
      <w:proofErr w:type="spellEnd"/>
      <w:r w:rsidR="002E0430" w:rsidRPr="002E0430">
        <w:t xml:space="preserve"> Hallmark pathways with significantly increased expression in post-CAR T samples. The residual tumor microenvironment demonstrates marked induction of inflammatory signaling (IL6/JAK/STAT3, Complement, Coagulation) and tissue remodeling programs (Epithelial-Mesenchymal Transition).</w:t>
      </w:r>
      <w:r w:rsidR="002E0430">
        <w:t xml:space="preserve"> </w:t>
      </w:r>
      <w:r w:rsidR="001A6DD6">
        <w:t xml:space="preserve">Table S5: </w:t>
      </w:r>
      <w:r w:rsidR="001A6DD6" w:rsidRPr="001A6DD6">
        <w:t xml:space="preserve">Prognostic evaluation of differentially expressed genes (DEGs) identified as candidate predictive biomarkers. Survival analyses were employed to determine the clinical impact of candidate genes on EFS in patients undergoing anti-CD19 CAR T-cell therapy. For each DEG derived from baseline and paired longitudinal time points in the ZUMA-1 study, as well as the </w:t>
      </w:r>
      <w:proofErr w:type="spellStart"/>
      <w:r w:rsidR="00262E87">
        <w:t>a</w:t>
      </w:r>
      <w:r w:rsidR="001A6DD6" w:rsidRPr="001A6DD6">
        <w:t>xi</w:t>
      </w:r>
      <w:proofErr w:type="spellEnd"/>
      <w:r w:rsidR="001A6DD6" w:rsidRPr="001A6DD6">
        <w:t>-cel arm of the ZUMA-7 study, the table details the statistical significance derived from the log-rank test of Kaplan-Meier estimates (</w:t>
      </w:r>
      <w:proofErr w:type="spellStart"/>
      <w:r w:rsidR="001A6DD6" w:rsidRPr="001A6DD6">
        <w:t>KM_PValue</w:t>
      </w:r>
      <w:proofErr w:type="spellEnd"/>
      <w:r w:rsidR="001A6DD6" w:rsidRPr="001A6DD6">
        <w:t>) alongside the initial univariate Cox proportional hazards regression metrics (</w:t>
      </w:r>
      <w:proofErr w:type="spellStart"/>
      <w:r w:rsidR="001A6DD6" w:rsidRPr="001A6DD6">
        <w:t>UniCox_PValue</w:t>
      </w:r>
      <w:proofErr w:type="spellEnd"/>
      <w:r w:rsidR="001A6DD6" w:rsidRPr="001A6DD6">
        <w:t xml:space="preserve"> and </w:t>
      </w:r>
      <w:proofErr w:type="spellStart"/>
      <w:r w:rsidR="001A6DD6" w:rsidRPr="001A6DD6">
        <w:t>UniCox_HR</w:t>
      </w:r>
      <w:proofErr w:type="spellEnd"/>
      <w:r w:rsidR="001A6DD6" w:rsidRPr="001A6DD6">
        <w:t>). For biomarkers subjected to independent validation, multivariable Cox model metrics are presented, encompassing the Hazard Ratio adjusted for clinical covariates (</w:t>
      </w:r>
      <w:proofErr w:type="spellStart"/>
      <w:r w:rsidR="001A6DD6" w:rsidRPr="001A6DD6">
        <w:t>MultiCox_HR</w:t>
      </w:r>
      <w:proofErr w:type="spellEnd"/>
      <w:r w:rsidR="001A6DD6" w:rsidRPr="001A6DD6">
        <w:t>), the corresponding 95% confidence intervals (</w:t>
      </w:r>
      <w:proofErr w:type="spellStart"/>
      <w:r w:rsidR="001A6DD6" w:rsidRPr="001A6DD6">
        <w:t>CI_lower</w:t>
      </w:r>
      <w:proofErr w:type="spellEnd"/>
      <w:r w:rsidR="001A6DD6" w:rsidRPr="001A6DD6">
        <w:t xml:space="preserve"> and </w:t>
      </w:r>
      <w:proofErr w:type="spellStart"/>
      <w:r w:rsidR="001A6DD6" w:rsidRPr="001A6DD6">
        <w:t>CI_upper</w:t>
      </w:r>
      <w:proofErr w:type="spellEnd"/>
      <w:r w:rsidR="001A6DD6" w:rsidRPr="001A6DD6">
        <w:t>), and the final adjusted statistical significance (</w:t>
      </w:r>
      <w:proofErr w:type="spellStart"/>
      <w:r w:rsidR="001A6DD6" w:rsidRPr="001A6DD6">
        <w:t>MultiCox_PValue</w:t>
      </w:r>
      <w:proofErr w:type="spellEnd"/>
      <w:r w:rsidR="001A6DD6" w:rsidRPr="001A6DD6">
        <w:t>).</w:t>
      </w:r>
      <w:r w:rsidR="00525828">
        <w:t xml:space="preserve"> Figure S3: </w:t>
      </w:r>
      <w:r w:rsidR="00525828" w:rsidRPr="00525828">
        <w:t xml:space="preserve">Baseline tumor microenvironment cellular composition does not stratify response to </w:t>
      </w:r>
      <w:proofErr w:type="spellStart"/>
      <w:r w:rsidR="00262E87">
        <w:t>a</w:t>
      </w:r>
      <w:r w:rsidR="00525828" w:rsidRPr="00525828">
        <w:t>xi</w:t>
      </w:r>
      <w:proofErr w:type="spellEnd"/>
      <w:r w:rsidR="00525828" w:rsidRPr="00525828">
        <w:t>-cel in the ZUMA-7 and ZUMA-1 cohorts. Violin plots representing the estimated abundance of cell populations, stratified by overall clinical response (Sustained vs. Failure for ZUMA-7; CR vs. Non-CR for ZUMA-1). (A) Cellular deconvolution estimated by MCP-counter in ZUMA-7 (</w:t>
      </w:r>
      <w:proofErr w:type="spellStart"/>
      <w:r w:rsidR="002C535A">
        <w:t>a</w:t>
      </w:r>
      <w:r w:rsidR="00525828" w:rsidRPr="00525828">
        <w:t>xi</w:t>
      </w:r>
      <w:proofErr w:type="spellEnd"/>
      <w:r w:rsidR="00525828" w:rsidRPr="00525828">
        <w:t>-cel). (B) Cellular deconvolution estimated by MCP-counter in ZUMA-1 (Baseline). Individual patient data points are overlaid and color-coded according to their specific clinical classification. Statistical comparisons between response groups were performed using the Wilcoxon rank-sum test with Benjamini-Hochberg (FDR) correction.</w:t>
      </w:r>
    </w:p>
    <w:p w14:paraId="3087818A" w14:textId="2EC462A3" w:rsidR="00F443F6" w:rsidRPr="006F77DA" w:rsidRDefault="00F443F6" w:rsidP="000852E9">
      <w:pPr>
        <w:pStyle w:val="MDPI62backmatter"/>
      </w:pPr>
      <w:r w:rsidRPr="006F77DA">
        <w:rPr>
          <w:b/>
        </w:rPr>
        <w:t>Author Contributions:</w:t>
      </w:r>
      <w:r w:rsidRPr="006F77DA">
        <w:t xml:space="preserve"> </w:t>
      </w:r>
      <w:r w:rsidR="00AE4AA1" w:rsidRPr="00AE4AA1">
        <w:t xml:space="preserve">Conceptualization, </w:t>
      </w:r>
      <w:r w:rsidR="004B4713">
        <w:t>B.C.F.</w:t>
      </w:r>
      <w:r w:rsidR="00AE4AA1" w:rsidRPr="00AE4AA1">
        <w:t xml:space="preserve">, </w:t>
      </w:r>
      <w:proofErr w:type="spellStart"/>
      <w:r w:rsidR="00AE4AA1" w:rsidRPr="00AE4AA1">
        <w:t>J.</w:t>
      </w:r>
      <w:r w:rsidR="00B156FF">
        <w:t>S.</w:t>
      </w:r>
      <w:r w:rsidR="00070AE6">
        <w:t>d.</w:t>
      </w:r>
      <w:r w:rsidR="00B156FF">
        <w:t>S.R</w:t>
      </w:r>
      <w:proofErr w:type="spellEnd"/>
      <w:r w:rsidR="00AE4AA1" w:rsidRPr="00AE4AA1">
        <w:t xml:space="preserve">.; methodology, </w:t>
      </w:r>
      <w:proofErr w:type="spellStart"/>
      <w:r w:rsidR="00AE4AA1" w:rsidRPr="00AE4AA1">
        <w:t>J.</w:t>
      </w:r>
      <w:r w:rsidR="00B156FF">
        <w:t>S.</w:t>
      </w:r>
      <w:r w:rsidR="00070AE6">
        <w:t>d.</w:t>
      </w:r>
      <w:r w:rsidR="00B156FF">
        <w:t>S.R</w:t>
      </w:r>
      <w:proofErr w:type="spellEnd"/>
      <w:r w:rsidR="00AE4AA1" w:rsidRPr="00AE4AA1">
        <w:t>.</w:t>
      </w:r>
      <w:r w:rsidR="00B156FF">
        <w:t>, I.</w:t>
      </w:r>
      <w:r w:rsidR="00070AE6">
        <w:t>S.G.</w:t>
      </w:r>
      <w:r w:rsidR="00AE4AA1" w:rsidRPr="00AE4AA1">
        <w:t xml:space="preserve"> and M.A.A.C.; formal analysis, </w:t>
      </w:r>
      <w:proofErr w:type="spellStart"/>
      <w:r w:rsidR="00AE4AA1" w:rsidRPr="00AE4AA1">
        <w:t>J.</w:t>
      </w:r>
      <w:r w:rsidR="00B2647B">
        <w:t>S.d.S.R</w:t>
      </w:r>
      <w:proofErr w:type="spellEnd"/>
      <w:r w:rsidR="003D1665">
        <w:t>.</w:t>
      </w:r>
      <w:r w:rsidR="00AE4AA1" w:rsidRPr="00AE4AA1">
        <w:t xml:space="preserve"> and B.C.F.; data curation, </w:t>
      </w:r>
      <w:proofErr w:type="spellStart"/>
      <w:r w:rsidR="00AE4AA1" w:rsidRPr="00AE4AA1">
        <w:t>J.</w:t>
      </w:r>
      <w:r w:rsidR="003D1665">
        <w:t>S.d.S.R</w:t>
      </w:r>
      <w:proofErr w:type="spellEnd"/>
      <w:r w:rsidR="003D1665">
        <w:t>.</w:t>
      </w:r>
      <w:r w:rsidR="00AE4AA1" w:rsidRPr="00AE4AA1">
        <w:t>; writing</w:t>
      </w:r>
      <w:r w:rsidR="003D1665">
        <w:t>-</w:t>
      </w:r>
      <w:r w:rsidR="00AE4AA1" w:rsidRPr="00AE4AA1">
        <w:t xml:space="preserve">original draft preparation, </w:t>
      </w:r>
      <w:proofErr w:type="spellStart"/>
      <w:r w:rsidR="00AE4AA1" w:rsidRPr="00AE4AA1">
        <w:t>J.</w:t>
      </w:r>
      <w:r w:rsidR="006D59CD">
        <w:t>S.d.S.R</w:t>
      </w:r>
      <w:proofErr w:type="spellEnd"/>
      <w:r w:rsidR="006D59CD">
        <w:t>.</w:t>
      </w:r>
      <w:r w:rsidR="00AE4AA1" w:rsidRPr="00AE4AA1">
        <w:t>, B.C.F.; writing</w:t>
      </w:r>
      <w:r w:rsidR="006D3CC2">
        <w:t>-</w:t>
      </w:r>
      <w:r w:rsidR="00AE4AA1" w:rsidRPr="00AE4AA1">
        <w:t xml:space="preserve">review and editing, </w:t>
      </w:r>
      <w:proofErr w:type="spellStart"/>
      <w:r w:rsidR="00AE4AA1" w:rsidRPr="00AE4AA1">
        <w:t>J.</w:t>
      </w:r>
      <w:r w:rsidR="006D3CC2">
        <w:t>S.d.S.R</w:t>
      </w:r>
      <w:proofErr w:type="spellEnd"/>
      <w:r w:rsidR="006D3CC2">
        <w:t>.</w:t>
      </w:r>
      <w:r w:rsidR="00AE4AA1" w:rsidRPr="00AE4AA1">
        <w:t>, I.S.G.,</w:t>
      </w:r>
      <w:r w:rsidR="005E651D">
        <w:t xml:space="preserve"> </w:t>
      </w:r>
      <w:r w:rsidR="005E651D">
        <w:t>M.G.C.F., M.M.P.</w:t>
      </w:r>
      <w:r w:rsidR="005E651D">
        <w:t>,</w:t>
      </w:r>
      <w:r w:rsidR="00AE4AA1" w:rsidRPr="00AE4AA1">
        <w:t xml:space="preserve"> </w:t>
      </w:r>
      <w:r w:rsidR="0002541A">
        <w:t>E.L.</w:t>
      </w:r>
      <w:r w:rsidR="00AE4AA1" w:rsidRPr="00AE4AA1">
        <w:t xml:space="preserve">, M.A.A.C. and </w:t>
      </w:r>
      <w:r w:rsidR="0002541A">
        <w:t>B.C.F</w:t>
      </w:r>
      <w:r w:rsidR="00AE4AA1" w:rsidRPr="00AE4AA1">
        <w:t>; visualization,</w:t>
      </w:r>
      <w:r w:rsidR="00053F9E">
        <w:t xml:space="preserve"> </w:t>
      </w:r>
      <w:proofErr w:type="spellStart"/>
      <w:r w:rsidR="00053F9E">
        <w:t>J</w:t>
      </w:r>
      <w:r w:rsidR="00AE4AA1" w:rsidRPr="00AE4AA1">
        <w:t>.S.d.S.R</w:t>
      </w:r>
      <w:proofErr w:type="spellEnd"/>
      <w:r w:rsidR="00AE4AA1" w:rsidRPr="00AE4AA1">
        <w:t xml:space="preserve">.; supervision, </w:t>
      </w:r>
      <w:r w:rsidR="007E13EA" w:rsidRPr="00AE4AA1">
        <w:t>M.A.A.C.</w:t>
      </w:r>
      <w:r w:rsidR="00AE4AA1" w:rsidRPr="00AE4AA1">
        <w:t xml:space="preserve"> and</w:t>
      </w:r>
      <w:r w:rsidR="007E13EA">
        <w:t xml:space="preserve"> B.C.F</w:t>
      </w:r>
      <w:r w:rsidR="00F96DF5">
        <w:t>.</w:t>
      </w:r>
      <w:r w:rsidR="00AE4AA1" w:rsidRPr="00AE4AA1">
        <w:t>; project administration, B.C.F.; funding acquisition, B.C.F. All authors have read and agreed to the published version of the manuscript</w:t>
      </w:r>
      <w:r w:rsidRPr="006F77DA">
        <w:t>.</w:t>
      </w:r>
    </w:p>
    <w:p w14:paraId="59814E7E" w14:textId="77777777" w:rsidR="00F443F6" w:rsidRPr="006F77DA" w:rsidRDefault="00F443F6" w:rsidP="000852E9">
      <w:pPr>
        <w:pStyle w:val="MDPI62backmatter"/>
      </w:pPr>
      <w:r w:rsidRPr="00DD173A">
        <w:rPr>
          <w:b/>
          <w:highlight w:val="yellow"/>
        </w:rPr>
        <w:t>Funding:</w:t>
      </w:r>
      <w:r w:rsidRPr="00DD173A">
        <w:rPr>
          <w:highlight w:val="yellow"/>
        </w:rPr>
        <w:t xml:space="preserve"> Please add: “This research received no external funding” or “This research was funded by NAME OF FUNDER, grant number XXX”. Check carefully that the details given are accurate and use the standard spelling of funding agency names at https://search.crossref.org/</w:t>
      </w:r>
      <w:r w:rsidR="00D7340A" w:rsidRPr="00DD173A">
        <w:rPr>
          <w:highlight w:val="yellow"/>
        </w:rPr>
        <w:t xml:space="preserve">funding. </w:t>
      </w:r>
      <w:r w:rsidR="00647B34" w:rsidRPr="00DD173A">
        <w:rPr>
          <w:highlight w:val="yellow"/>
        </w:rPr>
        <w:t xml:space="preserve">Any errors may affect your future </w:t>
      </w:r>
      <w:r w:rsidRPr="00DD173A">
        <w:rPr>
          <w:highlight w:val="yellow"/>
        </w:rPr>
        <w:t>funding.</w:t>
      </w:r>
    </w:p>
    <w:p w14:paraId="50AD1CED" w14:textId="2F529C43" w:rsidR="00F71844" w:rsidRPr="006F77DA" w:rsidRDefault="00F71844" w:rsidP="000852E9">
      <w:pPr>
        <w:pStyle w:val="MDPI62backmatter"/>
        <w:rPr>
          <w:b/>
        </w:rPr>
      </w:pPr>
      <w:bookmarkStart w:id="0" w:name="_Hlk89945590"/>
      <w:bookmarkStart w:id="1" w:name="_Hlk60054323"/>
      <w:r w:rsidRPr="006F77DA">
        <w:rPr>
          <w:b/>
        </w:rPr>
        <w:t xml:space="preserve">Institutional Review Board Statement: </w:t>
      </w:r>
      <w:r w:rsidR="00B02E7C" w:rsidRPr="00B02E7C">
        <w:t>Not applicable. This study involved secondary analyses of publicly available and previously published datasets and did not involve the recruitment of human participants, direct collection of human specimens, animal experimentation, or access to identifiable personal data.</w:t>
      </w:r>
    </w:p>
    <w:bookmarkEnd w:id="0"/>
    <w:p w14:paraId="3463BFA2" w14:textId="183AD21A" w:rsidR="00F10E46" w:rsidRPr="006F77DA" w:rsidRDefault="00F10E46" w:rsidP="00BF667C">
      <w:pPr>
        <w:pStyle w:val="MDPI62backmatter"/>
      </w:pPr>
      <w:r w:rsidRPr="006F77DA">
        <w:rPr>
          <w:b/>
        </w:rPr>
        <w:t xml:space="preserve">Informed Consent Statement: </w:t>
      </w:r>
      <w:r w:rsidR="00BF667C" w:rsidRPr="00BF667C">
        <w:rPr>
          <w:bCs/>
        </w:rPr>
        <w:t>N</w:t>
      </w:r>
      <w:r w:rsidR="006F5229" w:rsidRPr="006F5229">
        <w:t xml:space="preserve">ot applicable. This study involved secondary analyses of publicly available and previously published datasets and did not include direct recruitment of human </w:t>
      </w:r>
      <w:r w:rsidR="006F5229" w:rsidRPr="006F5229">
        <w:lastRenderedPageBreak/>
        <w:t>participants, collection of human specimens, access to identifiable personal data, or any patient-identifiable information requiring consent for publication.</w:t>
      </w:r>
    </w:p>
    <w:bookmarkEnd w:id="1"/>
    <w:p w14:paraId="71BB8A48" w14:textId="2D904054" w:rsidR="00934535" w:rsidRPr="006F77DA" w:rsidRDefault="00934535" w:rsidP="00032434">
      <w:pPr>
        <w:pStyle w:val="MDPI62backmatter"/>
      </w:pPr>
      <w:r w:rsidRPr="006F77DA">
        <w:rPr>
          <w:b/>
        </w:rPr>
        <w:t>Data Availability Statement:</w:t>
      </w:r>
      <w:r w:rsidRPr="006F77DA">
        <w:t xml:space="preserve"> </w:t>
      </w:r>
      <w:r w:rsidR="000C2E0C" w:rsidRPr="000C2E0C">
        <w:t>Publicly available datasets were analyzed in this study.</w:t>
      </w:r>
      <w:r w:rsidR="00FD17E2">
        <w:t xml:space="preserve"> </w:t>
      </w:r>
      <w:r w:rsidR="00032434" w:rsidRPr="00032434">
        <w:t>The ZUMA-1 and ZUMA-7 data used in this study are available in the Gene Expression Omnibus under accession numbers GSE197977 and GSE248835, respectively. The TCGA-ACC RNA-seq and clinical data are available via the Genomic Data Commons and UCSC Xena. The generated scripts are available in the GitHub repository at the following link: https://github.com/jeanssresende/DLBCL-CD19-Analysis</w:t>
      </w:r>
      <w:r w:rsidR="00BF667C">
        <w:t>.</w:t>
      </w:r>
    </w:p>
    <w:p w14:paraId="42B4E398" w14:textId="56A72782" w:rsidR="00F443F6" w:rsidRPr="006F77DA" w:rsidRDefault="00F443F6" w:rsidP="000852E9">
      <w:pPr>
        <w:pStyle w:val="MDPI62backmatter"/>
      </w:pPr>
      <w:r w:rsidRPr="006F77DA">
        <w:rPr>
          <w:b/>
        </w:rPr>
        <w:t>Acknowledgments:</w:t>
      </w:r>
      <w:r w:rsidRPr="006F77DA">
        <w:t xml:space="preserve"> </w:t>
      </w:r>
      <w:r w:rsidR="00017DBE" w:rsidRPr="00017DBE">
        <w:t>Generative AI technology (OpenAI ChatGPT, GPT-5.5) was used to assist with language editing and manuscript organization. All scientific content, data analysis, interpretation and final text were reviewed and approved by the authors.</w:t>
      </w:r>
    </w:p>
    <w:p w14:paraId="308C0660" w14:textId="4A1F5152" w:rsidR="00F443F6" w:rsidRPr="006F77DA" w:rsidRDefault="00F443F6" w:rsidP="000852E9">
      <w:pPr>
        <w:pStyle w:val="MDPI62backmatter"/>
      </w:pPr>
      <w:r w:rsidRPr="006F77DA">
        <w:rPr>
          <w:b/>
        </w:rPr>
        <w:t>Conflicts of Interest:</w:t>
      </w:r>
      <w:r w:rsidRPr="006F77DA">
        <w:t xml:space="preserve"> </w:t>
      </w:r>
      <w:r w:rsidR="0079773B" w:rsidRPr="0079773B">
        <w:t>The authors declare no conflicts of interest.</w:t>
      </w:r>
    </w:p>
    <w:p w14:paraId="06DD67A5" w14:textId="77777777" w:rsidR="000852E9" w:rsidRPr="006F77DA" w:rsidRDefault="000852E9" w:rsidP="000852E9">
      <w:pPr>
        <w:pStyle w:val="MDPI21heading1"/>
        <w:rPr>
          <w:szCs w:val="24"/>
        </w:rPr>
      </w:pPr>
      <w:bookmarkStart w:id="2" w:name="_Hlk181004646"/>
      <w:r w:rsidRPr="006F77DA">
        <w:rPr>
          <w:szCs w:val="24"/>
        </w:rPr>
        <w:t>Abbreviations</w:t>
      </w:r>
    </w:p>
    <w:p w14:paraId="76DDE574" w14:textId="77777777" w:rsidR="000852E9" w:rsidRPr="006F77DA" w:rsidRDefault="000852E9" w:rsidP="000852E9">
      <w:pPr>
        <w:pStyle w:val="MDPI32textnoindent"/>
        <w:spacing w:after="240"/>
        <w:rPr>
          <w:sz w:val="18"/>
          <w:szCs w:val="18"/>
        </w:rPr>
      </w:pPr>
      <w:r w:rsidRPr="006F77DA">
        <w:rPr>
          <w:sz w:val="18"/>
          <w:szCs w:val="18"/>
        </w:rPr>
        <w:t>The following abbreviations are used in this manuscript:</w:t>
      </w:r>
    </w:p>
    <w:tbl>
      <w:tblPr>
        <w:tblStyle w:val="Tabelacomgrade"/>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03"/>
        <w:gridCol w:w="6354"/>
      </w:tblGrid>
      <w:tr w:rsidR="000852E9" w:rsidRPr="006F77DA" w14:paraId="1BA590F9" w14:textId="77777777" w:rsidTr="005E304B">
        <w:tc>
          <w:tcPr>
            <w:tcW w:w="1503" w:type="dxa"/>
            <w:vAlign w:val="center"/>
          </w:tcPr>
          <w:p w14:paraId="39B87C0A" w14:textId="59541823" w:rsidR="000852E9" w:rsidRPr="006F77DA" w:rsidRDefault="00412C48" w:rsidP="000D20E3">
            <w:pPr>
              <w:pStyle w:val="MDPI42tablebody"/>
              <w:spacing w:line="240" w:lineRule="auto"/>
              <w:jc w:val="left"/>
              <w:rPr>
                <w:sz w:val="18"/>
                <w:szCs w:val="18"/>
              </w:rPr>
            </w:pPr>
            <w:r>
              <w:rPr>
                <w:sz w:val="18"/>
                <w:szCs w:val="18"/>
              </w:rPr>
              <w:t>DLBCL</w:t>
            </w:r>
          </w:p>
        </w:tc>
        <w:tc>
          <w:tcPr>
            <w:tcW w:w="6354" w:type="dxa"/>
            <w:vAlign w:val="center"/>
          </w:tcPr>
          <w:p w14:paraId="757B70DC" w14:textId="5CF0E39E" w:rsidR="000852E9" w:rsidRPr="006F77DA" w:rsidRDefault="00412C48" w:rsidP="000D20E3">
            <w:pPr>
              <w:pStyle w:val="MDPI42tablebody"/>
              <w:spacing w:line="240" w:lineRule="auto"/>
              <w:jc w:val="left"/>
              <w:rPr>
                <w:sz w:val="18"/>
                <w:szCs w:val="18"/>
              </w:rPr>
            </w:pPr>
            <w:r>
              <w:rPr>
                <w:sz w:val="18"/>
                <w:szCs w:val="18"/>
              </w:rPr>
              <w:t xml:space="preserve">Diffuse </w:t>
            </w:r>
            <w:r w:rsidR="0046637C">
              <w:rPr>
                <w:sz w:val="18"/>
                <w:szCs w:val="18"/>
              </w:rPr>
              <w:t>large B-cell lymphoma</w:t>
            </w:r>
          </w:p>
        </w:tc>
      </w:tr>
      <w:tr w:rsidR="000852E9" w:rsidRPr="006F77DA" w14:paraId="3F92895A" w14:textId="77777777" w:rsidTr="005E304B">
        <w:tc>
          <w:tcPr>
            <w:tcW w:w="1503" w:type="dxa"/>
            <w:vAlign w:val="center"/>
          </w:tcPr>
          <w:p w14:paraId="39B76D69" w14:textId="03EE08E3" w:rsidR="000852E9" w:rsidRPr="006F77DA" w:rsidRDefault="0046637C" w:rsidP="000D20E3">
            <w:pPr>
              <w:pStyle w:val="MDPI42tablebody"/>
              <w:spacing w:line="240" w:lineRule="auto"/>
              <w:jc w:val="left"/>
              <w:rPr>
                <w:sz w:val="18"/>
                <w:szCs w:val="18"/>
              </w:rPr>
            </w:pPr>
            <w:r>
              <w:rPr>
                <w:sz w:val="18"/>
                <w:szCs w:val="18"/>
              </w:rPr>
              <w:t>R-CHOP</w:t>
            </w:r>
          </w:p>
        </w:tc>
        <w:tc>
          <w:tcPr>
            <w:tcW w:w="6354" w:type="dxa"/>
            <w:vAlign w:val="center"/>
          </w:tcPr>
          <w:p w14:paraId="4CED1D86" w14:textId="0BC53B73" w:rsidR="000852E9" w:rsidRPr="006F77DA" w:rsidRDefault="002C5DEC" w:rsidP="000D20E3">
            <w:pPr>
              <w:pStyle w:val="MDPI42tablebody"/>
              <w:spacing w:line="240" w:lineRule="auto"/>
              <w:jc w:val="left"/>
              <w:rPr>
                <w:sz w:val="18"/>
                <w:szCs w:val="18"/>
              </w:rPr>
            </w:pPr>
            <w:r>
              <w:rPr>
                <w:sz w:val="18"/>
                <w:szCs w:val="18"/>
              </w:rPr>
              <w:t>R</w:t>
            </w:r>
            <w:r w:rsidR="007D35D0" w:rsidRPr="007D35D0">
              <w:rPr>
                <w:sz w:val="18"/>
                <w:szCs w:val="18"/>
              </w:rPr>
              <w:t>ituximab-based chemoimmunotherapy</w:t>
            </w:r>
          </w:p>
        </w:tc>
      </w:tr>
      <w:tr w:rsidR="000852E9" w:rsidRPr="006F77DA" w14:paraId="50FB0988" w14:textId="77777777" w:rsidTr="005E304B">
        <w:tc>
          <w:tcPr>
            <w:tcW w:w="1503" w:type="dxa"/>
            <w:vAlign w:val="center"/>
          </w:tcPr>
          <w:p w14:paraId="73AC1C35" w14:textId="6A3F4269" w:rsidR="000852E9" w:rsidRPr="006F77DA" w:rsidRDefault="007D35D0" w:rsidP="000D20E3">
            <w:pPr>
              <w:pStyle w:val="MDPI42tablebody"/>
              <w:spacing w:line="240" w:lineRule="auto"/>
              <w:jc w:val="left"/>
              <w:rPr>
                <w:sz w:val="18"/>
                <w:szCs w:val="18"/>
              </w:rPr>
            </w:pPr>
            <w:r>
              <w:rPr>
                <w:sz w:val="18"/>
                <w:szCs w:val="18"/>
              </w:rPr>
              <w:t>r/r</w:t>
            </w:r>
          </w:p>
        </w:tc>
        <w:tc>
          <w:tcPr>
            <w:tcW w:w="6354" w:type="dxa"/>
            <w:vAlign w:val="center"/>
          </w:tcPr>
          <w:p w14:paraId="2CC30747" w14:textId="7F4D85C6" w:rsidR="000852E9" w:rsidRPr="006F77DA" w:rsidRDefault="002C5DEC" w:rsidP="000D20E3">
            <w:pPr>
              <w:pStyle w:val="MDPI42tablebody"/>
              <w:spacing w:line="240" w:lineRule="auto"/>
              <w:jc w:val="left"/>
              <w:rPr>
                <w:sz w:val="18"/>
                <w:szCs w:val="18"/>
              </w:rPr>
            </w:pPr>
            <w:r>
              <w:rPr>
                <w:sz w:val="18"/>
                <w:szCs w:val="18"/>
              </w:rPr>
              <w:t>R</w:t>
            </w:r>
            <w:r w:rsidRPr="002C5DEC">
              <w:rPr>
                <w:sz w:val="18"/>
                <w:szCs w:val="18"/>
              </w:rPr>
              <w:t>elapsed or refractory</w:t>
            </w:r>
          </w:p>
        </w:tc>
      </w:tr>
      <w:tr w:rsidR="000852E9" w:rsidRPr="006F77DA" w14:paraId="66ECB932" w14:textId="77777777" w:rsidTr="005E304B">
        <w:tc>
          <w:tcPr>
            <w:tcW w:w="1503" w:type="dxa"/>
            <w:vAlign w:val="center"/>
          </w:tcPr>
          <w:p w14:paraId="49A97EF9" w14:textId="6D87FCCA" w:rsidR="000852E9" w:rsidRPr="006F77DA" w:rsidRDefault="002C5DEC" w:rsidP="000D20E3">
            <w:pPr>
              <w:pStyle w:val="MDPI42tablebody"/>
              <w:spacing w:line="240" w:lineRule="auto"/>
              <w:jc w:val="left"/>
              <w:rPr>
                <w:sz w:val="18"/>
                <w:szCs w:val="18"/>
              </w:rPr>
            </w:pPr>
            <w:r>
              <w:rPr>
                <w:sz w:val="18"/>
                <w:szCs w:val="18"/>
              </w:rPr>
              <w:t>CAR</w:t>
            </w:r>
          </w:p>
        </w:tc>
        <w:tc>
          <w:tcPr>
            <w:tcW w:w="6354" w:type="dxa"/>
            <w:vAlign w:val="center"/>
          </w:tcPr>
          <w:p w14:paraId="0678E4C3" w14:textId="5DE66FDA" w:rsidR="000852E9" w:rsidRPr="006F77DA" w:rsidRDefault="00CF4F29" w:rsidP="000D20E3">
            <w:pPr>
              <w:pStyle w:val="MDPI42tablebody"/>
              <w:spacing w:line="240" w:lineRule="auto"/>
              <w:jc w:val="left"/>
              <w:rPr>
                <w:sz w:val="18"/>
                <w:szCs w:val="18"/>
              </w:rPr>
            </w:pPr>
            <w:r>
              <w:rPr>
                <w:sz w:val="18"/>
                <w:szCs w:val="18"/>
              </w:rPr>
              <w:t>C</w:t>
            </w:r>
            <w:r w:rsidRPr="00CF4F29">
              <w:rPr>
                <w:sz w:val="18"/>
                <w:szCs w:val="18"/>
              </w:rPr>
              <w:t>himeric antigen receptor</w:t>
            </w:r>
          </w:p>
        </w:tc>
      </w:tr>
      <w:tr w:rsidR="00CF4F29" w:rsidRPr="006F77DA" w14:paraId="2A8986F2" w14:textId="77777777" w:rsidTr="005E304B">
        <w:tc>
          <w:tcPr>
            <w:tcW w:w="1503" w:type="dxa"/>
            <w:vAlign w:val="center"/>
          </w:tcPr>
          <w:p w14:paraId="7FCABE9D" w14:textId="69A35945" w:rsidR="00CF4F29" w:rsidRDefault="0044537F" w:rsidP="000D20E3">
            <w:pPr>
              <w:pStyle w:val="MDPI42tablebody"/>
              <w:spacing w:line="240" w:lineRule="auto"/>
              <w:jc w:val="left"/>
              <w:rPr>
                <w:sz w:val="18"/>
                <w:szCs w:val="18"/>
              </w:rPr>
            </w:pPr>
            <w:proofErr w:type="spellStart"/>
            <w:r>
              <w:rPr>
                <w:sz w:val="18"/>
                <w:szCs w:val="18"/>
              </w:rPr>
              <w:t>a</w:t>
            </w:r>
            <w:r w:rsidR="00CF4F29">
              <w:rPr>
                <w:sz w:val="18"/>
                <w:szCs w:val="18"/>
              </w:rPr>
              <w:t>xi</w:t>
            </w:r>
            <w:proofErr w:type="spellEnd"/>
            <w:r w:rsidR="00CF4F29">
              <w:rPr>
                <w:sz w:val="18"/>
                <w:szCs w:val="18"/>
              </w:rPr>
              <w:t>-cel</w:t>
            </w:r>
          </w:p>
        </w:tc>
        <w:tc>
          <w:tcPr>
            <w:tcW w:w="6354" w:type="dxa"/>
            <w:vAlign w:val="center"/>
          </w:tcPr>
          <w:p w14:paraId="1FFF91CF" w14:textId="2C6B5FC7" w:rsidR="00CF4F29" w:rsidRDefault="00BF255B" w:rsidP="000D20E3">
            <w:pPr>
              <w:pStyle w:val="MDPI42tablebody"/>
              <w:spacing w:line="240" w:lineRule="auto"/>
              <w:jc w:val="left"/>
              <w:rPr>
                <w:sz w:val="18"/>
                <w:szCs w:val="18"/>
              </w:rPr>
            </w:pPr>
            <w:proofErr w:type="spellStart"/>
            <w:r>
              <w:rPr>
                <w:sz w:val="18"/>
                <w:szCs w:val="18"/>
              </w:rPr>
              <w:t>A</w:t>
            </w:r>
            <w:r w:rsidRPr="00BF255B">
              <w:rPr>
                <w:sz w:val="18"/>
                <w:szCs w:val="18"/>
              </w:rPr>
              <w:t>xicabtagene</w:t>
            </w:r>
            <w:proofErr w:type="spellEnd"/>
            <w:r w:rsidRPr="00BF255B">
              <w:rPr>
                <w:sz w:val="18"/>
                <w:szCs w:val="18"/>
              </w:rPr>
              <w:t xml:space="preserve"> </w:t>
            </w:r>
            <w:proofErr w:type="spellStart"/>
            <w:r w:rsidRPr="00BF255B">
              <w:rPr>
                <w:sz w:val="18"/>
                <w:szCs w:val="18"/>
              </w:rPr>
              <w:t>ciloleucel</w:t>
            </w:r>
            <w:proofErr w:type="spellEnd"/>
          </w:p>
        </w:tc>
      </w:tr>
      <w:tr w:rsidR="00BF255B" w:rsidRPr="006F77DA" w14:paraId="550B7822" w14:textId="77777777" w:rsidTr="005E304B">
        <w:tc>
          <w:tcPr>
            <w:tcW w:w="1503" w:type="dxa"/>
            <w:vAlign w:val="center"/>
          </w:tcPr>
          <w:p w14:paraId="02508E92" w14:textId="502027D6" w:rsidR="00BF255B" w:rsidRDefault="00BF255B" w:rsidP="000D20E3">
            <w:pPr>
              <w:pStyle w:val="MDPI42tablebody"/>
              <w:spacing w:line="240" w:lineRule="auto"/>
              <w:jc w:val="left"/>
              <w:rPr>
                <w:sz w:val="18"/>
                <w:szCs w:val="18"/>
              </w:rPr>
            </w:pPr>
            <w:r>
              <w:rPr>
                <w:sz w:val="18"/>
                <w:szCs w:val="18"/>
              </w:rPr>
              <w:t>TME</w:t>
            </w:r>
          </w:p>
        </w:tc>
        <w:tc>
          <w:tcPr>
            <w:tcW w:w="6354" w:type="dxa"/>
            <w:vAlign w:val="center"/>
          </w:tcPr>
          <w:p w14:paraId="677A2C89" w14:textId="5F8084B8" w:rsidR="00BF255B" w:rsidRDefault="009351DB" w:rsidP="000D20E3">
            <w:pPr>
              <w:pStyle w:val="MDPI42tablebody"/>
              <w:spacing w:line="240" w:lineRule="auto"/>
              <w:jc w:val="left"/>
              <w:rPr>
                <w:sz w:val="18"/>
                <w:szCs w:val="18"/>
              </w:rPr>
            </w:pPr>
            <w:r>
              <w:rPr>
                <w:sz w:val="18"/>
                <w:szCs w:val="18"/>
              </w:rPr>
              <w:t>T</w:t>
            </w:r>
            <w:r w:rsidRPr="009351DB">
              <w:rPr>
                <w:sz w:val="18"/>
                <w:szCs w:val="18"/>
              </w:rPr>
              <w:t>umor microenvironment</w:t>
            </w:r>
          </w:p>
        </w:tc>
      </w:tr>
      <w:tr w:rsidR="009351DB" w:rsidRPr="006F77DA" w14:paraId="337D2BBA" w14:textId="77777777" w:rsidTr="005E304B">
        <w:tc>
          <w:tcPr>
            <w:tcW w:w="1503" w:type="dxa"/>
            <w:vAlign w:val="center"/>
          </w:tcPr>
          <w:p w14:paraId="128F136F" w14:textId="1854434D" w:rsidR="009351DB" w:rsidRDefault="009351DB" w:rsidP="000D20E3">
            <w:pPr>
              <w:pStyle w:val="MDPI42tablebody"/>
              <w:spacing w:line="240" w:lineRule="auto"/>
              <w:jc w:val="left"/>
              <w:rPr>
                <w:sz w:val="18"/>
                <w:szCs w:val="18"/>
              </w:rPr>
            </w:pPr>
            <w:r>
              <w:rPr>
                <w:sz w:val="18"/>
                <w:szCs w:val="18"/>
              </w:rPr>
              <w:t>HLA</w:t>
            </w:r>
          </w:p>
        </w:tc>
        <w:tc>
          <w:tcPr>
            <w:tcW w:w="6354" w:type="dxa"/>
            <w:vAlign w:val="center"/>
          </w:tcPr>
          <w:p w14:paraId="15E95561" w14:textId="17C062CA" w:rsidR="009351DB" w:rsidRDefault="001934F9" w:rsidP="000D20E3">
            <w:pPr>
              <w:pStyle w:val="MDPI42tablebody"/>
              <w:spacing w:line="240" w:lineRule="auto"/>
              <w:jc w:val="left"/>
              <w:rPr>
                <w:sz w:val="18"/>
                <w:szCs w:val="18"/>
              </w:rPr>
            </w:pPr>
            <w:r>
              <w:rPr>
                <w:sz w:val="18"/>
                <w:szCs w:val="18"/>
              </w:rPr>
              <w:t>H</w:t>
            </w:r>
            <w:r w:rsidRPr="001934F9">
              <w:rPr>
                <w:sz w:val="18"/>
                <w:szCs w:val="18"/>
              </w:rPr>
              <w:t>uman leukocyte antigen</w:t>
            </w:r>
          </w:p>
        </w:tc>
      </w:tr>
      <w:tr w:rsidR="001934F9" w:rsidRPr="006F77DA" w14:paraId="730442E3" w14:textId="77777777" w:rsidTr="005E304B">
        <w:tc>
          <w:tcPr>
            <w:tcW w:w="1503" w:type="dxa"/>
            <w:vAlign w:val="center"/>
          </w:tcPr>
          <w:p w14:paraId="51CF98D1" w14:textId="44F99292" w:rsidR="001934F9" w:rsidRDefault="001934F9" w:rsidP="000D20E3">
            <w:pPr>
              <w:pStyle w:val="MDPI42tablebody"/>
              <w:spacing w:line="240" w:lineRule="auto"/>
              <w:jc w:val="left"/>
              <w:rPr>
                <w:sz w:val="18"/>
                <w:szCs w:val="18"/>
              </w:rPr>
            </w:pPr>
            <w:r>
              <w:rPr>
                <w:sz w:val="18"/>
                <w:szCs w:val="18"/>
              </w:rPr>
              <w:t>IFN</w:t>
            </w:r>
          </w:p>
        </w:tc>
        <w:tc>
          <w:tcPr>
            <w:tcW w:w="6354" w:type="dxa"/>
            <w:vAlign w:val="center"/>
          </w:tcPr>
          <w:p w14:paraId="24267932" w14:textId="7B62BA11" w:rsidR="001934F9" w:rsidRDefault="00AF6EEC" w:rsidP="000D20E3">
            <w:pPr>
              <w:pStyle w:val="MDPI42tablebody"/>
              <w:spacing w:line="240" w:lineRule="auto"/>
              <w:jc w:val="left"/>
              <w:rPr>
                <w:sz w:val="18"/>
                <w:szCs w:val="18"/>
              </w:rPr>
            </w:pPr>
            <w:r>
              <w:rPr>
                <w:sz w:val="18"/>
                <w:szCs w:val="18"/>
              </w:rPr>
              <w:t>I</w:t>
            </w:r>
            <w:r w:rsidRPr="00AF6EEC">
              <w:rPr>
                <w:sz w:val="18"/>
                <w:szCs w:val="18"/>
              </w:rPr>
              <w:t>nterferon</w:t>
            </w:r>
          </w:p>
        </w:tc>
      </w:tr>
      <w:tr w:rsidR="00AF6EEC" w:rsidRPr="006F77DA" w14:paraId="4E6614CD" w14:textId="77777777" w:rsidTr="005E304B">
        <w:tc>
          <w:tcPr>
            <w:tcW w:w="1503" w:type="dxa"/>
            <w:vAlign w:val="center"/>
          </w:tcPr>
          <w:p w14:paraId="68D35884" w14:textId="3FD6D540" w:rsidR="00AF6EEC" w:rsidRDefault="00AF6EEC" w:rsidP="000D20E3">
            <w:pPr>
              <w:pStyle w:val="MDPI42tablebody"/>
              <w:spacing w:line="240" w:lineRule="auto"/>
              <w:jc w:val="left"/>
              <w:rPr>
                <w:sz w:val="18"/>
                <w:szCs w:val="18"/>
              </w:rPr>
            </w:pPr>
            <w:r>
              <w:rPr>
                <w:sz w:val="18"/>
                <w:szCs w:val="18"/>
              </w:rPr>
              <w:t>EMT-like</w:t>
            </w:r>
          </w:p>
        </w:tc>
        <w:tc>
          <w:tcPr>
            <w:tcW w:w="6354" w:type="dxa"/>
            <w:vAlign w:val="center"/>
          </w:tcPr>
          <w:p w14:paraId="0EF7AAF4" w14:textId="5568C5A2" w:rsidR="00AF6EEC" w:rsidRDefault="00DD23BA" w:rsidP="000D20E3">
            <w:pPr>
              <w:pStyle w:val="MDPI42tablebody"/>
              <w:spacing w:line="240" w:lineRule="auto"/>
              <w:jc w:val="left"/>
              <w:rPr>
                <w:sz w:val="18"/>
                <w:szCs w:val="18"/>
              </w:rPr>
            </w:pPr>
            <w:r>
              <w:rPr>
                <w:sz w:val="18"/>
                <w:szCs w:val="18"/>
              </w:rPr>
              <w:t>E</w:t>
            </w:r>
            <w:r w:rsidR="00641BE3" w:rsidRPr="00641BE3">
              <w:rPr>
                <w:sz w:val="18"/>
                <w:szCs w:val="18"/>
              </w:rPr>
              <w:t>pithelial-mesenchymal transition-like</w:t>
            </w:r>
          </w:p>
        </w:tc>
      </w:tr>
      <w:tr w:rsidR="00641BE3" w:rsidRPr="006F77DA" w14:paraId="5B875E81" w14:textId="77777777" w:rsidTr="005E304B">
        <w:tc>
          <w:tcPr>
            <w:tcW w:w="1503" w:type="dxa"/>
            <w:vAlign w:val="center"/>
          </w:tcPr>
          <w:p w14:paraId="3B2CF07E" w14:textId="5BBEEBA8" w:rsidR="00641BE3" w:rsidRDefault="003D0615" w:rsidP="000D20E3">
            <w:pPr>
              <w:pStyle w:val="MDPI42tablebody"/>
              <w:spacing w:line="240" w:lineRule="auto"/>
              <w:jc w:val="left"/>
              <w:rPr>
                <w:sz w:val="18"/>
                <w:szCs w:val="18"/>
              </w:rPr>
            </w:pPr>
            <w:r>
              <w:rPr>
                <w:sz w:val="18"/>
                <w:szCs w:val="18"/>
              </w:rPr>
              <w:t>CR</w:t>
            </w:r>
          </w:p>
        </w:tc>
        <w:tc>
          <w:tcPr>
            <w:tcW w:w="6354" w:type="dxa"/>
            <w:vAlign w:val="center"/>
          </w:tcPr>
          <w:p w14:paraId="4612D522" w14:textId="2E431ECC" w:rsidR="00641BE3" w:rsidRPr="00641BE3" w:rsidRDefault="00DD23BA" w:rsidP="000D20E3">
            <w:pPr>
              <w:pStyle w:val="MDPI42tablebody"/>
              <w:spacing w:line="240" w:lineRule="auto"/>
              <w:jc w:val="left"/>
              <w:rPr>
                <w:sz w:val="18"/>
                <w:szCs w:val="18"/>
              </w:rPr>
            </w:pPr>
            <w:r w:rsidRPr="00DD23BA">
              <w:rPr>
                <w:sz w:val="18"/>
                <w:szCs w:val="18"/>
              </w:rPr>
              <w:t>Complete Response</w:t>
            </w:r>
          </w:p>
        </w:tc>
      </w:tr>
      <w:tr w:rsidR="00222893" w:rsidRPr="006F77DA" w14:paraId="2061D5C0" w14:textId="77777777" w:rsidTr="005E304B">
        <w:tc>
          <w:tcPr>
            <w:tcW w:w="1503" w:type="dxa"/>
            <w:vAlign w:val="center"/>
          </w:tcPr>
          <w:p w14:paraId="0943FEAA" w14:textId="2F3F6775" w:rsidR="00222893" w:rsidRDefault="00222893" w:rsidP="000D20E3">
            <w:pPr>
              <w:pStyle w:val="MDPI42tablebody"/>
              <w:spacing w:line="240" w:lineRule="auto"/>
              <w:jc w:val="left"/>
              <w:rPr>
                <w:sz w:val="18"/>
                <w:szCs w:val="18"/>
              </w:rPr>
            </w:pPr>
            <w:r>
              <w:rPr>
                <w:sz w:val="18"/>
                <w:szCs w:val="18"/>
              </w:rPr>
              <w:t>Non-CR</w:t>
            </w:r>
          </w:p>
        </w:tc>
        <w:tc>
          <w:tcPr>
            <w:tcW w:w="6354" w:type="dxa"/>
            <w:vAlign w:val="center"/>
          </w:tcPr>
          <w:p w14:paraId="108D8632" w14:textId="78242DCB" w:rsidR="00222893" w:rsidRPr="00DD23BA" w:rsidRDefault="00286980" w:rsidP="000D20E3">
            <w:pPr>
              <w:pStyle w:val="MDPI42tablebody"/>
              <w:spacing w:line="240" w:lineRule="auto"/>
              <w:jc w:val="left"/>
              <w:rPr>
                <w:sz w:val="18"/>
                <w:szCs w:val="18"/>
              </w:rPr>
            </w:pPr>
            <w:r>
              <w:rPr>
                <w:sz w:val="18"/>
                <w:szCs w:val="18"/>
              </w:rPr>
              <w:t>No Complete Response</w:t>
            </w:r>
          </w:p>
        </w:tc>
      </w:tr>
      <w:tr w:rsidR="00DD23BA" w:rsidRPr="006F77DA" w14:paraId="09D355F0" w14:textId="77777777" w:rsidTr="005E304B">
        <w:tc>
          <w:tcPr>
            <w:tcW w:w="1503" w:type="dxa"/>
            <w:vAlign w:val="center"/>
          </w:tcPr>
          <w:p w14:paraId="60BDD8F1" w14:textId="075C18B4" w:rsidR="00DD23BA" w:rsidRDefault="001E3827" w:rsidP="000D20E3">
            <w:pPr>
              <w:pStyle w:val="MDPI42tablebody"/>
              <w:spacing w:line="240" w:lineRule="auto"/>
              <w:jc w:val="left"/>
              <w:rPr>
                <w:sz w:val="18"/>
                <w:szCs w:val="18"/>
              </w:rPr>
            </w:pPr>
            <w:r>
              <w:rPr>
                <w:sz w:val="18"/>
                <w:szCs w:val="18"/>
              </w:rPr>
              <w:t>SOC</w:t>
            </w:r>
          </w:p>
        </w:tc>
        <w:tc>
          <w:tcPr>
            <w:tcW w:w="6354" w:type="dxa"/>
            <w:vAlign w:val="center"/>
          </w:tcPr>
          <w:p w14:paraId="6E388857" w14:textId="1B8C40A4" w:rsidR="00DD23BA" w:rsidRPr="00DD23BA" w:rsidRDefault="001E3827" w:rsidP="000D20E3">
            <w:pPr>
              <w:pStyle w:val="MDPI42tablebody"/>
              <w:spacing w:line="240" w:lineRule="auto"/>
              <w:jc w:val="left"/>
              <w:rPr>
                <w:sz w:val="18"/>
                <w:szCs w:val="18"/>
              </w:rPr>
            </w:pPr>
            <w:r>
              <w:rPr>
                <w:sz w:val="18"/>
                <w:szCs w:val="18"/>
              </w:rPr>
              <w:t>S</w:t>
            </w:r>
            <w:r w:rsidRPr="001E3827">
              <w:rPr>
                <w:sz w:val="18"/>
                <w:szCs w:val="18"/>
              </w:rPr>
              <w:t>tandard-of-care</w:t>
            </w:r>
          </w:p>
        </w:tc>
      </w:tr>
      <w:tr w:rsidR="001E3827" w:rsidRPr="006F77DA" w14:paraId="36C44FC8" w14:textId="77777777" w:rsidTr="005E304B">
        <w:tc>
          <w:tcPr>
            <w:tcW w:w="1503" w:type="dxa"/>
            <w:vAlign w:val="center"/>
          </w:tcPr>
          <w:p w14:paraId="0E114AEF" w14:textId="6B722F05" w:rsidR="001E3827" w:rsidRDefault="001E3827" w:rsidP="000D20E3">
            <w:pPr>
              <w:pStyle w:val="MDPI42tablebody"/>
              <w:spacing w:line="240" w:lineRule="auto"/>
              <w:jc w:val="left"/>
              <w:rPr>
                <w:sz w:val="18"/>
                <w:szCs w:val="18"/>
              </w:rPr>
            </w:pPr>
            <w:r>
              <w:rPr>
                <w:sz w:val="18"/>
                <w:szCs w:val="18"/>
              </w:rPr>
              <w:t>EFS</w:t>
            </w:r>
          </w:p>
        </w:tc>
        <w:tc>
          <w:tcPr>
            <w:tcW w:w="6354" w:type="dxa"/>
            <w:vAlign w:val="center"/>
          </w:tcPr>
          <w:p w14:paraId="48747549" w14:textId="1133E60A" w:rsidR="001E3827" w:rsidRDefault="000243A2" w:rsidP="000D20E3">
            <w:pPr>
              <w:pStyle w:val="MDPI42tablebody"/>
              <w:spacing w:line="240" w:lineRule="auto"/>
              <w:jc w:val="left"/>
              <w:rPr>
                <w:sz w:val="18"/>
                <w:szCs w:val="18"/>
              </w:rPr>
            </w:pPr>
            <w:r w:rsidRPr="000243A2">
              <w:rPr>
                <w:sz w:val="18"/>
                <w:szCs w:val="18"/>
              </w:rPr>
              <w:t>Event-Free Survival</w:t>
            </w:r>
          </w:p>
        </w:tc>
      </w:tr>
      <w:tr w:rsidR="006345DE" w:rsidRPr="006F77DA" w14:paraId="64D47924" w14:textId="77777777" w:rsidTr="005E304B">
        <w:tc>
          <w:tcPr>
            <w:tcW w:w="1503" w:type="dxa"/>
            <w:vAlign w:val="center"/>
          </w:tcPr>
          <w:p w14:paraId="261DDDD1" w14:textId="0E801FAE" w:rsidR="006345DE" w:rsidRDefault="006345DE" w:rsidP="000D20E3">
            <w:pPr>
              <w:pStyle w:val="MDPI42tablebody"/>
              <w:spacing w:line="240" w:lineRule="auto"/>
              <w:jc w:val="left"/>
              <w:rPr>
                <w:sz w:val="18"/>
                <w:szCs w:val="18"/>
              </w:rPr>
            </w:pPr>
            <w:r>
              <w:rPr>
                <w:sz w:val="18"/>
                <w:szCs w:val="18"/>
              </w:rPr>
              <w:t>SPD</w:t>
            </w:r>
          </w:p>
        </w:tc>
        <w:tc>
          <w:tcPr>
            <w:tcW w:w="6354" w:type="dxa"/>
            <w:vAlign w:val="center"/>
          </w:tcPr>
          <w:p w14:paraId="62D3724A" w14:textId="7C69F950" w:rsidR="006345DE" w:rsidRPr="000243A2" w:rsidRDefault="00EF2838" w:rsidP="000D20E3">
            <w:pPr>
              <w:pStyle w:val="MDPI42tablebody"/>
              <w:spacing w:line="240" w:lineRule="auto"/>
              <w:jc w:val="left"/>
              <w:rPr>
                <w:sz w:val="18"/>
                <w:szCs w:val="18"/>
              </w:rPr>
            </w:pPr>
            <w:r w:rsidRPr="00EF2838">
              <w:rPr>
                <w:sz w:val="18"/>
                <w:szCs w:val="18"/>
              </w:rPr>
              <w:t>Sum of Product Diameters</w:t>
            </w:r>
          </w:p>
        </w:tc>
      </w:tr>
      <w:tr w:rsidR="00EF2838" w:rsidRPr="006F77DA" w14:paraId="4DDA535D" w14:textId="77777777" w:rsidTr="005E304B">
        <w:tc>
          <w:tcPr>
            <w:tcW w:w="1503" w:type="dxa"/>
            <w:vAlign w:val="center"/>
          </w:tcPr>
          <w:p w14:paraId="5D2E7614" w14:textId="0677A4B1" w:rsidR="00EF2838" w:rsidRDefault="00EF2838" w:rsidP="000D20E3">
            <w:pPr>
              <w:pStyle w:val="MDPI42tablebody"/>
              <w:spacing w:line="240" w:lineRule="auto"/>
              <w:jc w:val="left"/>
              <w:rPr>
                <w:sz w:val="18"/>
                <w:szCs w:val="18"/>
              </w:rPr>
            </w:pPr>
            <w:r>
              <w:rPr>
                <w:sz w:val="18"/>
                <w:szCs w:val="18"/>
              </w:rPr>
              <w:t>COO</w:t>
            </w:r>
          </w:p>
        </w:tc>
        <w:tc>
          <w:tcPr>
            <w:tcW w:w="6354" w:type="dxa"/>
            <w:vAlign w:val="center"/>
          </w:tcPr>
          <w:p w14:paraId="5A74CC9C" w14:textId="32562118" w:rsidR="00EF2838" w:rsidRPr="00EF2838" w:rsidRDefault="009775CA" w:rsidP="000D20E3">
            <w:pPr>
              <w:pStyle w:val="MDPI42tablebody"/>
              <w:spacing w:line="240" w:lineRule="auto"/>
              <w:jc w:val="left"/>
              <w:rPr>
                <w:sz w:val="18"/>
                <w:szCs w:val="18"/>
              </w:rPr>
            </w:pPr>
            <w:r w:rsidRPr="009775CA">
              <w:rPr>
                <w:sz w:val="18"/>
                <w:szCs w:val="18"/>
              </w:rPr>
              <w:t>Cell of Origin</w:t>
            </w:r>
          </w:p>
        </w:tc>
      </w:tr>
      <w:tr w:rsidR="009775CA" w:rsidRPr="006F77DA" w14:paraId="03F6099F" w14:textId="77777777" w:rsidTr="005E304B">
        <w:tc>
          <w:tcPr>
            <w:tcW w:w="1503" w:type="dxa"/>
            <w:vAlign w:val="center"/>
          </w:tcPr>
          <w:p w14:paraId="27BBE276" w14:textId="130ABA9D" w:rsidR="009775CA" w:rsidRDefault="009775CA" w:rsidP="000D20E3">
            <w:pPr>
              <w:pStyle w:val="MDPI42tablebody"/>
              <w:spacing w:line="240" w:lineRule="auto"/>
              <w:jc w:val="left"/>
              <w:rPr>
                <w:sz w:val="18"/>
                <w:szCs w:val="18"/>
              </w:rPr>
            </w:pPr>
            <w:r>
              <w:rPr>
                <w:sz w:val="18"/>
                <w:szCs w:val="18"/>
              </w:rPr>
              <w:t>GEO</w:t>
            </w:r>
          </w:p>
        </w:tc>
        <w:tc>
          <w:tcPr>
            <w:tcW w:w="6354" w:type="dxa"/>
            <w:vAlign w:val="center"/>
          </w:tcPr>
          <w:p w14:paraId="6DEBA3C1" w14:textId="65F3D59F" w:rsidR="009775CA" w:rsidRPr="009775CA" w:rsidRDefault="0019070B" w:rsidP="000D20E3">
            <w:pPr>
              <w:pStyle w:val="MDPI42tablebody"/>
              <w:spacing w:line="240" w:lineRule="auto"/>
              <w:jc w:val="left"/>
              <w:rPr>
                <w:sz w:val="18"/>
                <w:szCs w:val="18"/>
              </w:rPr>
            </w:pPr>
            <w:r w:rsidRPr="0019070B">
              <w:rPr>
                <w:sz w:val="18"/>
                <w:szCs w:val="18"/>
              </w:rPr>
              <w:t>Gene Expression Omnibus</w:t>
            </w:r>
          </w:p>
        </w:tc>
      </w:tr>
      <w:tr w:rsidR="0019070B" w:rsidRPr="006F77DA" w14:paraId="368AB328" w14:textId="77777777" w:rsidTr="005E304B">
        <w:tc>
          <w:tcPr>
            <w:tcW w:w="1503" w:type="dxa"/>
            <w:vAlign w:val="center"/>
          </w:tcPr>
          <w:p w14:paraId="3DBC6314" w14:textId="2F642083" w:rsidR="0019070B" w:rsidRDefault="00C75195" w:rsidP="000D20E3">
            <w:pPr>
              <w:pStyle w:val="MDPI42tablebody"/>
              <w:spacing w:line="240" w:lineRule="auto"/>
              <w:jc w:val="left"/>
              <w:rPr>
                <w:sz w:val="18"/>
                <w:szCs w:val="18"/>
              </w:rPr>
            </w:pPr>
            <w:r>
              <w:rPr>
                <w:sz w:val="18"/>
                <w:szCs w:val="18"/>
              </w:rPr>
              <w:t>TPM</w:t>
            </w:r>
          </w:p>
        </w:tc>
        <w:tc>
          <w:tcPr>
            <w:tcW w:w="6354" w:type="dxa"/>
            <w:vAlign w:val="center"/>
          </w:tcPr>
          <w:p w14:paraId="7F31DA25" w14:textId="76D60FF4" w:rsidR="0019070B" w:rsidRPr="0019070B" w:rsidRDefault="00C87C6A" w:rsidP="000D20E3">
            <w:pPr>
              <w:pStyle w:val="MDPI42tablebody"/>
              <w:spacing w:line="240" w:lineRule="auto"/>
              <w:jc w:val="left"/>
              <w:rPr>
                <w:sz w:val="18"/>
                <w:szCs w:val="18"/>
              </w:rPr>
            </w:pPr>
            <w:r w:rsidRPr="00C87C6A">
              <w:rPr>
                <w:sz w:val="18"/>
                <w:szCs w:val="18"/>
              </w:rPr>
              <w:t>Transcripts Per Million</w:t>
            </w:r>
          </w:p>
        </w:tc>
      </w:tr>
      <w:tr w:rsidR="00C87C6A" w:rsidRPr="006F77DA" w14:paraId="1A29544F" w14:textId="77777777" w:rsidTr="005E304B">
        <w:tc>
          <w:tcPr>
            <w:tcW w:w="1503" w:type="dxa"/>
            <w:vAlign w:val="center"/>
          </w:tcPr>
          <w:p w14:paraId="7097EE1B" w14:textId="26D644B1" w:rsidR="00C87C6A" w:rsidRDefault="00ED0D6C" w:rsidP="000D20E3">
            <w:pPr>
              <w:pStyle w:val="MDPI42tablebody"/>
              <w:spacing w:line="240" w:lineRule="auto"/>
              <w:jc w:val="left"/>
              <w:rPr>
                <w:sz w:val="18"/>
                <w:szCs w:val="18"/>
              </w:rPr>
            </w:pPr>
            <w:r>
              <w:rPr>
                <w:sz w:val="18"/>
                <w:szCs w:val="18"/>
              </w:rPr>
              <w:t>TCGA</w:t>
            </w:r>
          </w:p>
        </w:tc>
        <w:tc>
          <w:tcPr>
            <w:tcW w:w="6354" w:type="dxa"/>
            <w:vAlign w:val="center"/>
          </w:tcPr>
          <w:p w14:paraId="0F967593" w14:textId="26748734" w:rsidR="00C87C6A" w:rsidRPr="00C87C6A" w:rsidRDefault="00ED0D6C" w:rsidP="000D20E3">
            <w:pPr>
              <w:pStyle w:val="MDPI42tablebody"/>
              <w:spacing w:line="240" w:lineRule="auto"/>
              <w:jc w:val="left"/>
              <w:rPr>
                <w:sz w:val="18"/>
                <w:szCs w:val="18"/>
              </w:rPr>
            </w:pPr>
            <w:r>
              <w:rPr>
                <w:sz w:val="18"/>
                <w:szCs w:val="18"/>
              </w:rPr>
              <w:t>T</w:t>
            </w:r>
            <w:r w:rsidRPr="00ED0D6C">
              <w:rPr>
                <w:sz w:val="18"/>
                <w:szCs w:val="18"/>
              </w:rPr>
              <w:t>he Cancer Genome Atlas</w:t>
            </w:r>
          </w:p>
        </w:tc>
      </w:tr>
      <w:tr w:rsidR="00ED0D6C" w:rsidRPr="006F77DA" w14:paraId="01971689" w14:textId="77777777" w:rsidTr="005E304B">
        <w:tc>
          <w:tcPr>
            <w:tcW w:w="1503" w:type="dxa"/>
            <w:vAlign w:val="center"/>
          </w:tcPr>
          <w:p w14:paraId="773E2F72" w14:textId="11E689AA" w:rsidR="00ED0D6C" w:rsidRDefault="00ED0D6C" w:rsidP="000D20E3">
            <w:pPr>
              <w:pStyle w:val="MDPI42tablebody"/>
              <w:spacing w:line="240" w:lineRule="auto"/>
              <w:jc w:val="left"/>
              <w:rPr>
                <w:sz w:val="18"/>
                <w:szCs w:val="18"/>
              </w:rPr>
            </w:pPr>
            <w:r>
              <w:rPr>
                <w:sz w:val="18"/>
                <w:szCs w:val="18"/>
              </w:rPr>
              <w:t>DLBC</w:t>
            </w:r>
          </w:p>
        </w:tc>
        <w:tc>
          <w:tcPr>
            <w:tcW w:w="6354" w:type="dxa"/>
            <w:vAlign w:val="center"/>
          </w:tcPr>
          <w:p w14:paraId="27AF0D1F" w14:textId="7BC28011" w:rsidR="00ED0D6C" w:rsidRDefault="00443C73" w:rsidP="000D20E3">
            <w:pPr>
              <w:pStyle w:val="MDPI42tablebody"/>
              <w:spacing w:line="240" w:lineRule="auto"/>
              <w:jc w:val="left"/>
              <w:rPr>
                <w:sz w:val="18"/>
                <w:szCs w:val="18"/>
              </w:rPr>
            </w:pPr>
            <w:r w:rsidRPr="00443C73">
              <w:rPr>
                <w:sz w:val="18"/>
                <w:szCs w:val="18"/>
              </w:rPr>
              <w:t>Diffuse Large B-cell Lymphoma</w:t>
            </w:r>
          </w:p>
        </w:tc>
      </w:tr>
      <w:tr w:rsidR="00443C73" w:rsidRPr="006F77DA" w14:paraId="70E1B5DB" w14:textId="77777777" w:rsidTr="005E304B">
        <w:tc>
          <w:tcPr>
            <w:tcW w:w="1503" w:type="dxa"/>
            <w:vAlign w:val="center"/>
          </w:tcPr>
          <w:p w14:paraId="3D5F25CB" w14:textId="25BCA5A7" w:rsidR="00443C73" w:rsidRDefault="00443C73" w:rsidP="000D20E3">
            <w:pPr>
              <w:pStyle w:val="MDPI42tablebody"/>
              <w:spacing w:line="240" w:lineRule="auto"/>
              <w:jc w:val="left"/>
              <w:rPr>
                <w:sz w:val="18"/>
                <w:szCs w:val="18"/>
              </w:rPr>
            </w:pPr>
            <w:r>
              <w:rPr>
                <w:sz w:val="18"/>
                <w:szCs w:val="18"/>
              </w:rPr>
              <w:t>GDC</w:t>
            </w:r>
          </w:p>
        </w:tc>
        <w:tc>
          <w:tcPr>
            <w:tcW w:w="6354" w:type="dxa"/>
            <w:vAlign w:val="center"/>
          </w:tcPr>
          <w:p w14:paraId="0639C25A" w14:textId="63972FCF" w:rsidR="00443C73" w:rsidRPr="00443C73" w:rsidRDefault="005E304B" w:rsidP="000D20E3">
            <w:pPr>
              <w:pStyle w:val="MDPI42tablebody"/>
              <w:spacing w:line="240" w:lineRule="auto"/>
              <w:jc w:val="left"/>
              <w:rPr>
                <w:sz w:val="18"/>
                <w:szCs w:val="18"/>
              </w:rPr>
            </w:pPr>
            <w:r w:rsidRPr="005E304B">
              <w:rPr>
                <w:sz w:val="18"/>
                <w:szCs w:val="18"/>
              </w:rPr>
              <w:t>Genomic Data Commons</w:t>
            </w:r>
          </w:p>
        </w:tc>
      </w:tr>
      <w:tr w:rsidR="005E304B" w:rsidRPr="006F77DA" w14:paraId="546DF101" w14:textId="77777777" w:rsidTr="005E304B">
        <w:tc>
          <w:tcPr>
            <w:tcW w:w="1503" w:type="dxa"/>
            <w:vAlign w:val="center"/>
          </w:tcPr>
          <w:p w14:paraId="0F1903B0" w14:textId="4CD0F550" w:rsidR="005E304B" w:rsidRDefault="005E304B" w:rsidP="000D20E3">
            <w:pPr>
              <w:pStyle w:val="MDPI42tablebody"/>
              <w:spacing w:line="240" w:lineRule="auto"/>
              <w:jc w:val="left"/>
              <w:rPr>
                <w:sz w:val="18"/>
                <w:szCs w:val="18"/>
              </w:rPr>
            </w:pPr>
            <w:r>
              <w:rPr>
                <w:sz w:val="18"/>
                <w:szCs w:val="18"/>
              </w:rPr>
              <w:t>MCP-counter</w:t>
            </w:r>
          </w:p>
        </w:tc>
        <w:tc>
          <w:tcPr>
            <w:tcW w:w="6354" w:type="dxa"/>
            <w:vAlign w:val="center"/>
          </w:tcPr>
          <w:p w14:paraId="4DAF2D69" w14:textId="23645F7E" w:rsidR="005E304B" w:rsidRPr="005E304B" w:rsidRDefault="00BA5FA7" w:rsidP="000D20E3">
            <w:pPr>
              <w:pStyle w:val="MDPI42tablebody"/>
              <w:spacing w:line="240" w:lineRule="auto"/>
              <w:jc w:val="left"/>
              <w:rPr>
                <w:sz w:val="18"/>
                <w:szCs w:val="18"/>
              </w:rPr>
            </w:pPr>
            <w:r w:rsidRPr="00BA5FA7">
              <w:rPr>
                <w:sz w:val="18"/>
                <w:szCs w:val="18"/>
              </w:rPr>
              <w:t>Microenvironment Cell Populations-counter</w:t>
            </w:r>
          </w:p>
        </w:tc>
      </w:tr>
      <w:tr w:rsidR="00BA5FA7" w:rsidRPr="006F77DA" w14:paraId="2F072065" w14:textId="77777777" w:rsidTr="005E304B">
        <w:tc>
          <w:tcPr>
            <w:tcW w:w="1503" w:type="dxa"/>
            <w:vAlign w:val="center"/>
          </w:tcPr>
          <w:p w14:paraId="13BE2F80" w14:textId="0A727F35" w:rsidR="00BA5FA7" w:rsidRDefault="00C23500" w:rsidP="000D20E3">
            <w:pPr>
              <w:pStyle w:val="MDPI42tablebody"/>
              <w:spacing w:line="240" w:lineRule="auto"/>
              <w:jc w:val="left"/>
              <w:rPr>
                <w:sz w:val="18"/>
                <w:szCs w:val="18"/>
              </w:rPr>
            </w:pPr>
            <w:r>
              <w:rPr>
                <w:sz w:val="18"/>
                <w:szCs w:val="18"/>
              </w:rPr>
              <w:t>DEA</w:t>
            </w:r>
          </w:p>
        </w:tc>
        <w:tc>
          <w:tcPr>
            <w:tcW w:w="6354" w:type="dxa"/>
            <w:vAlign w:val="center"/>
          </w:tcPr>
          <w:p w14:paraId="02310E88" w14:textId="30556A4E" w:rsidR="00BA5FA7" w:rsidRPr="00BA5FA7" w:rsidRDefault="00515D50" w:rsidP="000D20E3">
            <w:pPr>
              <w:pStyle w:val="MDPI42tablebody"/>
              <w:spacing w:line="240" w:lineRule="auto"/>
              <w:jc w:val="left"/>
              <w:rPr>
                <w:sz w:val="18"/>
                <w:szCs w:val="18"/>
              </w:rPr>
            </w:pPr>
            <w:r>
              <w:rPr>
                <w:sz w:val="18"/>
                <w:szCs w:val="18"/>
              </w:rPr>
              <w:t>D</w:t>
            </w:r>
            <w:r w:rsidRPr="00515D50">
              <w:rPr>
                <w:sz w:val="18"/>
                <w:szCs w:val="18"/>
              </w:rPr>
              <w:t>ifferential expression analysis</w:t>
            </w:r>
          </w:p>
        </w:tc>
      </w:tr>
      <w:tr w:rsidR="00515D50" w:rsidRPr="006F77DA" w14:paraId="6D7EE5BE" w14:textId="77777777" w:rsidTr="005E304B">
        <w:tc>
          <w:tcPr>
            <w:tcW w:w="1503" w:type="dxa"/>
            <w:vAlign w:val="center"/>
          </w:tcPr>
          <w:p w14:paraId="11DF1DD2" w14:textId="11E2C1FE" w:rsidR="00515D50" w:rsidRDefault="00EF2BCE" w:rsidP="000D20E3">
            <w:pPr>
              <w:pStyle w:val="MDPI42tablebody"/>
              <w:spacing w:line="240" w:lineRule="auto"/>
              <w:jc w:val="left"/>
              <w:rPr>
                <w:sz w:val="18"/>
                <w:szCs w:val="18"/>
              </w:rPr>
            </w:pPr>
            <w:proofErr w:type="spellStart"/>
            <w:r>
              <w:rPr>
                <w:sz w:val="18"/>
                <w:szCs w:val="18"/>
              </w:rPr>
              <w:t>ssGSEA</w:t>
            </w:r>
            <w:proofErr w:type="spellEnd"/>
          </w:p>
        </w:tc>
        <w:tc>
          <w:tcPr>
            <w:tcW w:w="6354" w:type="dxa"/>
            <w:vAlign w:val="center"/>
          </w:tcPr>
          <w:p w14:paraId="3787BD88" w14:textId="73D41F74" w:rsidR="00515D50" w:rsidRDefault="00EF2BCE" w:rsidP="000D20E3">
            <w:pPr>
              <w:pStyle w:val="MDPI42tablebody"/>
              <w:spacing w:line="240" w:lineRule="auto"/>
              <w:jc w:val="left"/>
              <w:rPr>
                <w:sz w:val="18"/>
                <w:szCs w:val="18"/>
              </w:rPr>
            </w:pPr>
            <w:r w:rsidRPr="00EF2BCE">
              <w:rPr>
                <w:sz w:val="18"/>
                <w:szCs w:val="18"/>
              </w:rPr>
              <w:t>Single-Sample Gene Set Enrichment Analysis</w:t>
            </w:r>
          </w:p>
        </w:tc>
      </w:tr>
      <w:tr w:rsidR="00EF2BCE" w:rsidRPr="006F77DA" w14:paraId="67C569C4" w14:textId="77777777" w:rsidTr="005E304B">
        <w:tc>
          <w:tcPr>
            <w:tcW w:w="1503" w:type="dxa"/>
            <w:vAlign w:val="center"/>
          </w:tcPr>
          <w:p w14:paraId="4F597B99" w14:textId="360C3B30" w:rsidR="00EF2BCE" w:rsidRDefault="00EF2BCE" w:rsidP="000D20E3">
            <w:pPr>
              <w:pStyle w:val="MDPI42tablebody"/>
              <w:spacing w:line="240" w:lineRule="auto"/>
              <w:jc w:val="left"/>
              <w:rPr>
                <w:sz w:val="18"/>
                <w:szCs w:val="18"/>
              </w:rPr>
            </w:pPr>
            <w:r>
              <w:rPr>
                <w:sz w:val="18"/>
                <w:szCs w:val="18"/>
              </w:rPr>
              <w:t>NES</w:t>
            </w:r>
          </w:p>
        </w:tc>
        <w:tc>
          <w:tcPr>
            <w:tcW w:w="6354" w:type="dxa"/>
            <w:vAlign w:val="center"/>
          </w:tcPr>
          <w:p w14:paraId="36E77021" w14:textId="2B9D9CE3" w:rsidR="00EF2BCE" w:rsidRPr="00EF2BCE" w:rsidRDefault="00BE6B91" w:rsidP="000D20E3">
            <w:pPr>
              <w:pStyle w:val="MDPI42tablebody"/>
              <w:spacing w:line="240" w:lineRule="auto"/>
              <w:jc w:val="left"/>
              <w:rPr>
                <w:sz w:val="18"/>
                <w:szCs w:val="18"/>
              </w:rPr>
            </w:pPr>
            <w:r w:rsidRPr="00BE6B91">
              <w:rPr>
                <w:sz w:val="18"/>
                <w:szCs w:val="18"/>
              </w:rPr>
              <w:t>Normalized Enrichment Score</w:t>
            </w:r>
          </w:p>
        </w:tc>
      </w:tr>
      <w:tr w:rsidR="00BE6B91" w:rsidRPr="006F77DA" w14:paraId="78BC474F" w14:textId="77777777" w:rsidTr="005E304B">
        <w:tc>
          <w:tcPr>
            <w:tcW w:w="1503" w:type="dxa"/>
            <w:vAlign w:val="center"/>
          </w:tcPr>
          <w:p w14:paraId="3C632398" w14:textId="1B8BEDD8" w:rsidR="00BE6B91" w:rsidRDefault="0090467F" w:rsidP="000D20E3">
            <w:pPr>
              <w:pStyle w:val="MDPI42tablebody"/>
              <w:spacing w:line="240" w:lineRule="auto"/>
              <w:jc w:val="left"/>
              <w:rPr>
                <w:sz w:val="18"/>
                <w:szCs w:val="18"/>
              </w:rPr>
            </w:pPr>
            <w:proofErr w:type="spellStart"/>
            <w:r w:rsidRPr="0090467F">
              <w:rPr>
                <w:sz w:val="18"/>
                <w:szCs w:val="18"/>
              </w:rPr>
              <w:t>MSigDB</w:t>
            </w:r>
            <w:proofErr w:type="spellEnd"/>
          </w:p>
        </w:tc>
        <w:tc>
          <w:tcPr>
            <w:tcW w:w="6354" w:type="dxa"/>
            <w:vAlign w:val="center"/>
          </w:tcPr>
          <w:p w14:paraId="4259591B" w14:textId="1EA1DFF7" w:rsidR="00BE6B91" w:rsidRPr="00BE6B91" w:rsidRDefault="0090467F" w:rsidP="000D20E3">
            <w:pPr>
              <w:pStyle w:val="MDPI42tablebody"/>
              <w:spacing w:line="240" w:lineRule="auto"/>
              <w:jc w:val="left"/>
              <w:rPr>
                <w:sz w:val="18"/>
                <w:szCs w:val="18"/>
              </w:rPr>
            </w:pPr>
            <w:r w:rsidRPr="0090467F">
              <w:rPr>
                <w:sz w:val="18"/>
                <w:szCs w:val="18"/>
              </w:rPr>
              <w:t>Molecular Signatures Database</w:t>
            </w:r>
          </w:p>
        </w:tc>
      </w:tr>
      <w:tr w:rsidR="00B90C0E" w:rsidRPr="006F77DA" w14:paraId="76F4009A" w14:textId="77777777" w:rsidTr="005E304B">
        <w:tc>
          <w:tcPr>
            <w:tcW w:w="1503" w:type="dxa"/>
            <w:vAlign w:val="center"/>
          </w:tcPr>
          <w:p w14:paraId="3845034E" w14:textId="34C9D42C" w:rsidR="00B90C0E" w:rsidRPr="0090467F" w:rsidRDefault="00265251" w:rsidP="000D20E3">
            <w:pPr>
              <w:pStyle w:val="MDPI42tablebody"/>
              <w:spacing w:line="240" w:lineRule="auto"/>
              <w:jc w:val="left"/>
              <w:rPr>
                <w:sz w:val="18"/>
                <w:szCs w:val="18"/>
              </w:rPr>
            </w:pPr>
            <w:r w:rsidRPr="00265251">
              <w:rPr>
                <w:sz w:val="18"/>
                <w:szCs w:val="18"/>
              </w:rPr>
              <w:t>GSEA</w:t>
            </w:r>
          </w:p>
        </w:tc>
        <w:tc>
          <w:tcPr>
            <w:tcW w:w="6354" w:type="dxa"/>
            <w:vAlign w:val="center"/>
          </w:tcPr>
          <w:p w14:paraId="4A9CA85E" w14:textId="6ACC1F56" w:rsidR="00B90C0E" w:rsidRPr="0090467F" w:rsidRDefault="00265251" w:rsidP="000D20E3">
            <w:pPr>
              <w:pStyle w:val="MDPI42tablebody"/>
              <w:spacing w:line="240" w:lineRule="auto"/>
              <w:jc w:val="left"/>
              <w:rPr>
                <w:sz w:val="18"/>
                <w:szCs w:val="18"/>
              </w:rPr>
            </w:pPr>
            <w:r w:rsidRPr="00265251">
              <w:rPr>
                <w:sz w:val="18"/>
                <w:szCs w:val="18"/>
              </w:rPr>
              <w:t>Gene Set Enrichment Analysis</w:t>
            </w:r>
          </w:p>
        </w:tc>
      </w:tr>
      <w:tr w:rsidR="00265251" w:rsidRPr="006F77DA" w14:paraId="7815389F" w14:textId="77777777" w:rsidTr="005E304B">
        <w:tc>
          <w:tcPr>
            <w:tcW w:w="1503" w:type="dxa"/>
            <w:vAlign w:val="center"/>
          </w:tcPr>
          <w:p w14:paraId="13BB1EB8" w14:textId="1D22C686" w:rsidR="00265251" w:rsidRPr="00265251" w:rsidRDefault="00730C38" w:rsidP="000D20E3">
            <w:pPr>
              <w:pStyle w:val="MDPI42tablebody"/>
              <w:spacing w:line="240" w:lineRule="auto"/>
              <w:jc w:val="left"/>
              <w:rPr>
                <w:sz w:val="18"/>
                <w:szCs w:val="18"/>
              </w:rPr>
            </w:pPr>
            <w:r>
              <w:rPr>
                <w:sz w:val="18"/>
                <w:szCs w:val="18"/>
              </w:rPr>
              <w:t>HR</w:t>
            </w:r>
          </w:p>
        </w:tc>
        <w:tc>
          <w:tcPr>
            <w:tcW w:w="6354" w:type="dxa"/>
            <w:vAlign w:val="center"/>
          </w:tcPr>
          <w:p w14:paraId="0C962BA6" w14:textId="7A23277A" w:rsidR="00265251" w:rsidRPr="00265251" w:rsidRDefault="00F104A7" w:rsidP="000D20E3">
            <w:pPr>
              <w:pStyle w:val="MDPI42tablebody"/>
              <w:spacing w:line="240" w:lineRule="auto"/>
              <w:jc w:val="left"/>
              <w:rPr>
                <w:sz w:val="18"/>
                <w:szCs w:val="18"/>
              </w:rPr>
            </w:pPr>
            <w:r w:rsidRPr="00F104A7">
              <w:rPr>
                <w:sz w:val="18"/>
                <w:szCs w:val="18"/>
              </w:rPr>
              <w:t>Hazard Ratios</w:t>
            </w:r>
          </w:p>
        </w:tc>
      </w:tr>
      <w:tr w:rsidR="00F104A7" w:rsidRPr="006F77DA" w14:paraId="4757F2D9" w14:textId="77777777" w:rsidTr="005E304B">
        <w:tc>
          <w:tcPr>
            <w:tcW w:w="1503" w:type="dxa"/>
            <w:vAlign w:val="center"/>
          </w:tcPr>
          <w:p w14:paraId="71CB039A" w14:textId="213D235C" w:rsidR="00F104A7" w:rsidRDefault="00615F24" w:rsidP="000D20E3">
            <w:pPr>
              <w:pStyle w:val="MDPI42tablebody"/>
              <w:spacing w:line="240" w:lineRule="auto"/>
              <w:jc w:val="left"/>
              <w:rPr>
                <w:sz w:val="18"/>
                <w:szCs w:val="18"/>
              </w:rPr>
            </w:pPr>
            <w:r>
              <w:rPr>
                <w:sz w:val="18"/>
                <w:szCs w:val="18"/>
              </w:rPr>
              <w:t>NR</w:t>
            </w:r>
          </w:p>
        </w:tc>
        <w:tc>
          <w:tcPr>
            <w:tcW w:w="6354" w:type="dxa"/>
            <w:vAlign w:val="center"/>
          </w:tcPr>
          <w:p w14:paraId="145621B6" w14:textId="79AF8C63" w:rsidR="00F104A7" w:rsidRPr="00F104A7" w:rsidRDefault="00615F24" w:rsidP="000D20E3">
            <w:pPr>
              <w:pStyle w:val="MDPI42tablebody"/>
              <w:spacing w:line="240" w:lineRule="auto"/>
              <w:jc w:val="left"/>
              <w:rPr>
                <w:sz w:val="18"/>
                <w:szCs w:val="18"/>
              </w:rPr>
            </w:pPr>
            <w:r>
              <w:rPr>
                <w:sz w:val="18"/>
                <w:szCs w:val="18"/>
              </w:rPr>
              <w:t>N</w:t>
            </w:r>
            <w:r w:rsidRPr="00615F24">
              <w:rPr>
                <w:sz w:val="18"/>
                <w:szCs w:val="18"/>
              </w:rPr>
              <w:t>ot reported</w:t>
            </w:r>
          </w:p>
        </w:tc>
      </w:tr>
      <w:tr w:rsidR="00FC05D5" w:rsidRPr="006F77DA" w14:paraId="26767676" w14:textId="77777777" w:rsidTr="005E304B">
        <w:tc>
          <w:tcPr>
            <w:tcW w:w="1503" w:type="dxa"/>
            <w:vAlign w:val="center"/>
          </w:tcPr>
          <w:p w14:paraId="798CB235" w14:textId="6C4C3163" w:rsidR="00FC05D5" w:rsidRDefault="00FC05D5" w:rsidP="000D20E3">
            <w:pPr>
              <w:pStyle w:val="MDPI42tablebody"/>
              <w:spacing w:line="240" w:lineRule="auto"/>
              <w:jc w:val="left"/>
              <w:rPr>
                <w:sz w:val="18"/>
                <w:szCs w:val="18"/>
              </w:rPr>
            </w:pPr>
            <w:r>
              <w:rPr>
                <w:sz w:val="18"/>
                <w:szCs w:val="18"/>
              </w:rPr>
              <w:t>FDR</w:t>
            </w:r>
          </w:p>
        </w:tc>
        <w:tc>
          <w:tcPr>
            <w:tcW w:w="6354" w:type="dxa"/>
            <w:vAlign w:val="center"/>
          </w:tcPr>
          <w:p w14:paraId="259D814F" w14:textId="44F9A8C4" w:rsidR="00FC05D5" w:rsidRDefault="00FC05D5" w:rsidP="000D20E3">
            <w:pPr>
              <w:pStyle w:val="MDPI42tablebody"/>
              <w:spacing w:line="240" w:lineRule="auto"/>
              <w:jc w:val="left"/>
              <w:rPr>
                <w:sz w:val="18"/>
                <w:szCs w:val="18"/>
              </w:rPr>
            </w:pPr>
            <w:r w:rsidRPr="00FC05D5">
              <w:rPr>
                <w:sz w:val="18"/>
                <w:szCs w:val="18"/>
              </w:rPr>
              <w:t>False Discovery Rate</w:t>
            </w:r>
          </w:p>
        </w:tc>
      </w:tr>
      <w:tr w:rsidR="00FC05D5" w:rsidRPr="006F77DA" w14:paraId="7CD4AC8E" w14:textId="77777777" w:rsidTr="005E304B">
        <w:tc>
          <w:tcPr>
            <w:tcW w:w="1503" w:type="dxa"/>
            <w:vAlign w:val="center"/>
          </w:tcPr>
          <w:p w14:paraId="45FC70D4" w14:textId="6BF658FF" w:rsidR="00FC05D5" w:rsidRDefault="00EE684D" w:rsidP="000D20E3">
            <w:pPr>
              <w:pStyle w:val="MDPI42tablebody"/>
              <w:spacing w:line="240" w:lineRule="auto"/>
              <w:jc w:val="left"/>
              <w:rPr>
                <w:sz w:val="18"/>
                <w:szCs w:val="18"/>
              </w:rPr>
            </w:pPr>
            <w:r>
              <w:rPr>
                <w:sz w:val="18"/>
                <w:szCs w:val="18"/>
              </w:rPr>
              <w:t>B-cell</w:t>
            </w:r>
          </w:p>
        </w:tc>
        <w:tc>
          <w:tcPr>
            <w:tcW w:w="6354" w:type="dxa"/>
            <w:vAlign w:val="center"/>
          </w:tcPr>
          <w:p w14:paraId="00815634" w14:textId="738A2E34" w:rsidR="00FC05D5" w:rsidRPr="00FC05D5" w:rsidRDefault="00A2748F" w:rsidP="000D20E3">
            <w:pPr>
              <w:pStyle w:val="MDPI42tablebody"/>
              <w:spacing w:line="240" w:lineRule="auto"/>
              <w:jc w:val="left"/>
              <w:rPr>
                <w:sz w:val="18"/>
                <w:szCs w:val="18"/>
              </w:rPr>
            </w:pPr>
            <w:r w:rsidRPr="00A2748F">
              <w:rPr>
                <w:sz w:val="18"/>
                <w:szCs w:val="18"/>
              </w:rPr>
              <w:t>B cell</w:t>
            </w:r>
          </w:p>
        </w:tc>
      </w:tr>
      <w:tr w:rsidR="00A2748F" w:rsidRPr="006F77DA" w14:paraId="2062652C" w14:textId="77777777" w:rsidTr="005E304B">
        <w:tc>
          <w:tcPr>
            <w:tcW w:w="1503" w:type="dxa"/>
            <w:vAlign w:val="center"/>
          </w:tcPr>
          <w:p w14:paraId="1BD4F182" w14:textId="39628DD2" w:rsidR="00A2748F" w:rsidRDefault="00A2748F" w:rsidP="000D20E3">
            <w:pPr>
              <w:pStyle w:val="MDPI42tablebody"/>
              <w:spacing w:line="240" w:lineRule="auto"/>
              <w:jc w:val="left"/>
              <w:rPr>
                <w:sz w:val="18"/>
                <w:szCs w:val="18"/>
              </w:rPr>
            </w:pPr>
            <w:r>
              <w:rPr>
                <w:sz w:val="18"/>
                <w:szCs w:val="18"/>
              </w:rPr>
              <w:t>T-cell</w:t>
            </w:r>
          </w:p>
        </w:tc>
        <w:tc>
          <w:tcPr>
            <w:tcW w:w="6354" w:type="dxa"/>
            <w:vAlign w:val="center"/>
          </w:tcPr>
          <w:p w14:paraId="5341DA59" w14:textId="2A7D98ED" w:rsidR="00A2748F" w:rsidRPr="00A2748F" w:rsidRDefault="00A2748F" w:rsidP="000D20E3">
            <w:pPr>
              <w:pStyle w:val="MDPI42tablebody"/>
              <w:spacing w:line="240" w:lineRule="auto"/>
              <w:jc w:val="left"/>
              <w:rPr>
                <w:sz w:val="18"/>
                <w:szCs w:val="18"/>
              </w:rPr>
            </w:pPr>
            <w:r>
              <w:rPr>
                <w:sz w:val="18"/>
                <w:szCs w:val="18"/>
              </w:rPr>
              <w:t>T cell</w:t>
            </w:r>
          </w:p>
        </w:tc>
      </w:tr>
    </w:tbl>
    <w:bookmarkEnd w:id="2"/>
    <w:p w14:paraId="0BE08771" w14:textId="77777777" w:rsidR="00F443F6" w:rsidRPr="006F77DA" w:rsidRDefault="00F443F6" w:rsidP="00AB3F54">
      <w:pPr>
        <w:pStyle w:val="MDPI21heading1"/>
        <w:ind w:left="0"/>
      </w:pPr>
      <w:r w:rsidRPr="006F77DA">
        <w:t>References</w:t>
      </w:r>
    </w:p>
    <w:p w14:paraId="71DEA6BC" w14:textId="77777777" w:rsidR="00EC6D06" w:rsidRPr="00EC6D06" w:rsidRDefault="00D53A3B" w:rsidP="00EC6D06">
      <w:pPr>
        <w:pStyle w:val="Bibliografia"/>
      </w:pPr>
      <w:r>
        <w:fldChar w:fldCharType="begin"/>
      </w:r>
      <w:r>
        <w:instrText xml:space="preserve"> ADDIN ZOTERO_BIBL {"uncited":[],"omitted":[],"custom":[]} CSL_BIBLIOGRAPHY </w:instrText>
      </w:r>
      <w:r>
        <w:fldChar w:fldCharType="separate"/>
      </w:r>
      <w:r w:rsidR="00EC6D06" w:rsidRPr="00EC6D06">
        <w:t>1</w:t>
      </w:r>
      <w:proofErr w:type="gramStart"/>
      <w:r w:rsidR="00EC6D06" w:rsidRPr="00EC6D06">
        <w:t xml:space="preserve">. </w:t>
      </w:r>
      <w:r w:rsidR="00EC6D06" w:rsidRPr="00EC6D06">
        <w:tab/>
        <w:t>Crump</w:t>
      </w:r>
      <w:proofErr w:type="gramEnd"/>
      <w:r w:rsidR="00EC6D06" w:rsidRPr="00EC6D06">
        <w:t xml:space="preserve">, M.; </w:t>
      </w:r>
      <w:proofErr w:type="spellStart"/>
      <w:r w:rsidR="00EC6D06" w:rsidRPr="00EC6D06">
        <w:t>Neelapu</w:t>
      </w:r>
      <w:proofErr w:type="spellEnd"/>
      <w:r w:rsidR="00EC6D06" w:rsidRPr="00EC6D06">
        <w:t xml:space="preserve">, S.S.; Farooq, U.; Van Den Neste, E.; Kuruvilla, J.; Westin, J.; Link, B.K.; Hay, A.; </w:t>
      </w:r>
      <w:proofErr w:type="spellStart"/>
      <w:r w:rsidR="00EC6D06" w:rsidRPr="00EC6D06">
        <w:t>Cerhan</w:t>
      </w:r>
      <w:proofErr w:type="spellEnd"/>
      <w:r w:rsidR="00EC6D06" w:rsidRPr="00EC6D06">
        <w:t xml:space="preserve">, J.R.; Zhu, L.; et al. Outcomes in Refractory Diffuse Large B-Cell Lymphoma: Results from the International SCHOLAR-1 Study. </w:t>
      </w:r>
      <w:r w:rsidR="00EC6D06" w:rsidRPr="00EC6D06">
        <w:rPr>
          <w:i/>
          <w:iCs/>
        </w:rPr>
        <w:t>Blood</w:t>
      </w:r>
      <w:r w:rsidR="00EC6D06" w:rsidRPr="00EC6D06">
        <w:t xml:space="preserve"> </w:t>
      </w:r>
      <w:r w:rsidR="00EC6D06" w:rsidRPr="00EC6D06">
        <w:rPr>
          <w:b/>
          <w:bCs/>
        </w:rPr>
        <w:t>2017</w:t>
      </w:r>
      <w:r w:rsidR="00EC6D06" w:rsidRPr="00EC6D06">
        <w:t xml:space="preserve">, </w:t>
      </w:r>
      <w:r w:rsidR="00EC6D06" w:rsidRPr="00EC6D06">
        <w:rPr>
          <w:i/>
          <w:iCs/>
        </w:rPr>
        <w:t>130</w:t>
      </w:r>
      <w:r w:rsidR="00EC6D06" w:rsidRPr="00EC6D06">
        <w:t>, 1800–1808, doi:10.1182/blood-2017-03-769620.</w:t>
      </w:r>
    </w:p>
    <w:p w14:paraId="05AF5E8E" w14:textId="77777777" w:rsidR="00EC6D06" w:rsidRPr="00EC6D06" w:rsidRDefault="00EC6D06" w:rsidP="00EC6D06">
      <w:pPr>
        <w:pStyle w:val="Bibliografia"/>
      </w:pPr>
      <w:r w:rsidRPr="00EC6D06">
        <w:lastRenderedPageBreak/>
        <w:t xml:space="preserve">2. </w:t>
      </w:r>
      <w:r w:rsidRPr="00EC6D06">
        <w:tab/>
        <w:t xml:space="preserve">Sehn, L.H.; Salles, G. Diffuse Large B-Cell Lymphoma. </w:t>
      </w:r>
      <w:r w:rsidRPr="00EC6D06">
        <w:rPr>
          <w:i/>
          <w:iCs/>
        </w:rPr>
        <w:t>N. Engl. J. Med.</w:t>
      </w:r>
      <w:r w:rsidRPr="00EC6D06">
        <w:t xml:space="preserve"> </w:t>
      </w:r>
      <w:r w:rsidRPr="00EC6D06">
        <w:rPr>
          <w:b/>
          <w:bCs/>
        </w:rPr>
        <w:t>2021</w:t>
      </w:r>
      <w:r w:rsidRPr="00EC6D06">
        <w:t xml:space="preserve">, </w:t>
      </w:r>
      <w:r w:rsidRPr="00EC6D06">
        <w:rPr>
          <w:i/>
          <w:iCs/>
        </w:rPr>
        <w:t>384</w:t>
      </w:r>
      <w:r w:rsidRPr="00EC6D06">
        <w:t>, 842–858, doi:10.1056/NEJMra2027612.</w:t>
      </w:r>
    </w:p>
    <w:p w14:paraId="33CB2290" w14:textId="77777777" w:rsidR="00EC6D06" w:rsidRPr="00EC6D06" w:rsidRDefault="00EC6D06" w:rsidP="00EC6D06">
      <w:pPr>
        <w:pStyle w:val="Bibliografia"/>
      </w:pPr>
      <w:r w:rsidRPr="00EC6D06">
        <w:t xml:space="preserve">3. </w:t>
      </w:r>
      <w:r w:rsidRPr="00EC6D06">
        <w:tab/>
        <w:t xml:space="preserve">Locke, F.L.; Miklos, D.B.; Jacobson, C.A.; Perales, M.-A.; Kersten, M.-J.; Oluwole, O.O.; Ghobadi, A.; Rapoport, A.P.; McGuirk, J.; Pagel, J.M.; et al. </w:t>
      </w:r>
      <w:proofErr w:type="spellStart"/>
      <w:r w:rsidRPr="00EC6D06">
        <w:t>Axicabtagene</w:t>
      </w:r>
      <w:proofErr w:type="spellEnd"/>
      <w:r w:rsidRPr="00EC6D06">
        <w:t xml:space="preserve"> </w:t>
      </w:r>
      <w:proofErr w:type="spellStart"/>
      <w:r w:rsidRPr="00EC6D06">
        <w:t>Ciloleucel</w:t>
      </w:r>
      <w:proofErr w:type="spellEnd"/>
      <w:r w:rsidRPr="00EC6D06">
        <w:t xml:space="preserve"> as Second-Line Therapy for Large B-Cell Lymphoma. </w:t>
      </w:r>
      <w:r w:rsidRPr="00EC6D06">
        <w:rPr>
          <w:i/>
          <w:iCs/>
        </w:rPr>
        <w:t>N. Engl. J. Med.</w:t>
      </w:r>
      <w:r w:rsidRPr="00EC6D06">
        <w:t xml:space="preserve"> </w:t>
      </w:r>
      <w:r w:rsidRPr="00EC6D06">
        <w:rPr>
          <w:b/>
          <w:bCs/>
        </w:rPr>
        <w:t>2022</w:t>
      </w:r>
      <w:r w:rsidRPr="00EC6D06">
        <w:t xml:space="preserve">, </w:t>
      </w:r>
      <w:r w:rsidRPr="00EC6D06">
        <w:rPr>
          <w:i/>
          <w:iCs/>
        </w:rPr>
        <w:t>386</w:t>
      </w:r>
      <w:r w:rsidRPr="00EC6D06">
        <w:t>, 640–654, doi:10.1056/NEJMoa2116133.</w:t>
      </w:r>
    </w:p>
    <w:p w14:paraId="12F9B1E7" w14:textId="77777777" w:rsidR="00EC6D06" w:rsidRPr="00EC6D06" w:rsidRDefault="00EC6D06" w:rsidP="00EC6D06">
      <w:pPr>
        <w:pStyle w:val="Bibliografia"/>
      </w:pPr>
      <w:r w:rsidRPr="00EC6D06">
        <w:t xml:space="preserve">4. </w:t>
      </w:r>
      <w:r w:rsidRPr="00EC6D06">
        <w:tab/>
      </w:r>
      <w:proofErr w:type="spellStart"/>
      <w:r w:rsidRPr="00EC6D06">
        <w:t>Neelapu</w:t>
      </w:r>
      <w:proofErr w:type="spellEnd"/>
      <w:r w:rsidRPr="00EC6D06">
        <w:t xml:space="preserve">, S.S.; Locke, F.L.; Bartlett, N.L.; </w:t>
      </w:r>
      <w:proofErr w:type="spellStart"/>
      <w:r w:rsidRPr="00EC6D06">
        <w:t>Lekakis</w:t>
      </w:r>
      <w:proofErr w:type="spellEnd"/>
      <w:r w:rsidRPr="00EC6D06">
        <w:t xml:space="preserve">, L.J.; Miklos, D.B.; Jacobson, C.A.; Braunschweig, I.; Oluwole, O.O.; Siddiqi, T.; Lin, Y.; et al. </w:t>
      </w:r>
      <w:proofErr w:type="spellStart"/>
      <w:r w:rsidRPr="00EC6D06">
        <w:t>Axicabtagene</w:t>
      </w:r>
      <w:proofErr w:type="spellEnd"/>
      <w:r w:rsidRPr="00EC6D06">
        <w:t xml:space="preserve"> </w:t>
      </w:r>
      <w:proofErr w:type="spellStart"/>
      <w:r w:rsidRPr="00EC6D06">
        <w:t>Ciloleucel</w:t>
      </w:r>
      <w:proofErr w:type="spellEnd"/>
      <w:r w:rsidRPr="00EC6D06">
        <w:t xml:space="preserve"> CAR T-Cell Therapy in Refractory Large B-Cell Lymphoma. </w:t>
      </w:r>
      <w:r w:rsidRPr="00EC6D06">
        <w:rPr>
          <w:i/>
          <w:iCs/>
        </w:rPr>
        <w:t>N. Engl. J. Med.</w:t>
      </w:r>
      <w:r w:rsidRPr="00EC6D06">
        <w:t xml:space="preserve"> </w:t>
      </w:r>
      <w:r w:rsidRPr="00EC6D06">
        <w:rPr>
          <w:b/>
          <w:bCs/>
        </w:rPr>
        <w:t>2017</w:t>
      </w:r>
      <w:r w:rsidRPr="00EC6D06">
        <w:t xml:space="preserve">, </w:t>
      </w:r>
      <w:r w:rsidRPr="00EC6D06">
        <w:rPr>
          <w:i/>
          <w:iCs/>
        </w:rPr>
        <w:t>377</w:t>
      </w:r>
      <w:r w:rsidRPr="00EC6D06">
        <w:t>, 2531–2544, doi:10.1056/NEJMoa1707447.</w:t>
      </w:r>
    </w:p>
    <w:p w14:paraId="102A9841" w14:textId="77777777" w:rsidR="00EC6D06" w:rsidRPr="00EC6D06" w:rsidRDefault="00EC6D06" w:rsidP="00EC6D06">
      <w:pPr>
        <w:pStyle w:val="Bibliografia"/>
      </w:pPr>
      <w:r w:rsidRPr="00EC6D06">
        <w:t>5</w:t>
      </w:r>
      <w:proofErr w:type="gramStart"/>
      <w:r w:rsidRPr="00EC6D06">
        <w:t xml:space="preserve">. </w:t>
      </w:r>
      <w:r w:rsidRPr="00EC6D06">
        <w:tab/>
        <w:t>Jain</w:t>
      </w:r>
      <w:proofErr w:type="gramEnd"/>
      <w:r w:rsidRPr="00EC6D06">
        <w:t xml:space="preserve">, M.; </w:t>
      </w:r>
      <w:proofErr w:type="spellStart"/>
      <w:r w:rsidRPr="00EC6D06">
        <w:t>Ziccheddu</w:t>
      </w:r>
      <w:proofErr w:type="spellEnd"/>
      <w:r w:rsidRPr="00EC6D06">
        <w:t xml:space="preserve">, B.; Coughlin, C.; </w:t>
      </w:r>
      <w:proofErr w:type="spellStart"/>
      <w:r w:rsidRPr="00EC6D06">
        <w:t>Faramand</w:t>
      </w:r>
      <w:proofErr w:type="spellEnd"/>
      <w:r w:rsidRPr="00EC6D06">
        <w:t xml:space="preserve">, R.; Griswold, A.; Reid, K.; Landgren, O.; Locke, F.; Maura, F.; Davila, M.; et al. 675 Genomic Drivers of Large B-Cell Lymphoma Resistance to CD19 CAR-T Therapy. </w:t>
      </w:r>
      <w:r w:rsidRPr="00EC6D06">
        <w:rPr>
          <w:i/>
          <w:iCs/>
        </w:rPr>
        <w:t xml:space="preserve">J. </w:t>
      </w:r>
      <w:proofErr w:type="spellStart"/>
      <w:r w:rsidRPr="00EC6D06">
        <w:rPr>
          <w:i/>
          <w:iCs/>
        </w:rPr>
        <w:t>Immunother</w:t>
      </w:r>
      <w:proofErr w:type="spellEnd"/>
      <w:r w:rsidRPr="00EC6D06">
        <w:rPr>
          <w:i/>
          <w:iCs/>
        </w:rPr>
        <w:t>. Cancer</w:t>
      </w:r>
      <w:r w:rsidRPr="00EC6D06">
        <w:t xml:space="preserve"> </w:t>
      </w:r>
      <w:r w:rsidRPr="00EC6D06">
        <w:rPr>
          <w:b/>
          <w:bCs/>
        </w:rPr>
        <w:t>2021</w:t>
      </w:r>
      <w:r w:rsidRPr="00EC6D06">
        <w:t xml:space="preserve">, </w:t>
      </w:r>
      <w:r w:rsidRPr="00EC6D06">
        <w:rPr>
          <w:i/>
          <w:iCs/>
        </w:rPr>
        <w:t>9</w:t>
      </w:r>
      <w:r w:rsidRPr="00EC6D06">
        <w:t>, doi:10.1136/jitc-2021-SITC2021.675.</w:t>
      </w:r>
    </w:p>
    <w:p w14:paraId="4D1FA4F8" w14:textId="77777777" w:rsidR="00EC6D06" w:rsidRPr="00EC6D06" w:rsidRDefault="00EC6D06" w:rsidP="00EC6D06">
      <w:pPr>
        <w:pStyle w:val="Bibliografia"/>
      </w:pPr>
      <w:r w:rsidRPr="00EC6D06">
        <w:t xml:space="preserve">6. </w:t>
      </w:r>
      <w:r w:rsidRPr="00EC6D06">
        <w:tab/>
      </w:r>
      <w:proofErr w:type="spellStart"/>
      <w:r w:rsidRPr="00EC6D06">
        <w:t>Majzner</w:t>
      </w:r>
      <w:proofErr w:type="spellEnd"/>
      <w:r w:rsidRPr="00EC6D06">
        <w:t xml:space="preserve">, R.G.; </w:t>
      </w:r>
      <w:proofErr w:type="spellStart"/>
      <w:r w:rsidRPr="00EC6D06">
        <w:t>Rietberg</w:t>
      </w:r>
      <w:proofErr w:type="spellEnd"/>
      <w:r w:rsidRPr="00EC6D06">
        <w:t xml:space="preserve">, S.P.; </w:t>
      </w:r>
      <w:proofErr w:type="spellStart"/>
      <w:r w:rsidRPr="00EC6D06">
        <w:t>Labanieh</w:t>
      </w:r>
      <w:proofErr w:type="spellEnd"/>
      <w:r w:rsidRPr="00EC6D06">
        <w:t xml:space="preserve">, L.; Sotillo, E.; Weber, E.W.; Lynn, R.C.; </w:t>
      </w:r>
      <w:proofErr w:type="spellStart"/>
      <w:r w:rsidRPr="00EC6D06">
        <w:t>Theruvath</w:t>
      </w:r>
      <w:proofErr w:type="spellEnd"/>
      <w:r w:rsidRPr="00EC6D06">
        <w:t xml:space="preserve">, J.L.; Yuan, C.M.; Xu, P.; Nguyen, S.M.; et al. Low CD19 Antigen Density Diminishes Efficacy of CD19 CAR T Cells and Can Be Overcome </w:t>
      </w:r>
      <w:proofErr w:type="gramStart"/>
      <w:r w:rsidRPr="00EC6D06">
        <w:t>By</w:t>
      </w:r>
      <w:proofErr w:type="gramEnd"/>
      <w:r w:rsidRPr="00EC6D06">
        <w:t xml:space="preserve"> Rational Redesign of CAR Signaling Domains. </w:t>
      </w:r>
      <w:r w:rsidRPr="00EC6D06">
        <w:rPr>
          <w:i/>
          <w:iCs/>
        </w:rPr>
        <w:t>Blood</w:t>
      </w:r>
      <w:r w:rsidRPr="00EC6D06">
        <w:t xml:space="preserve"> </w:t>
      </w:r>
      <w:r w:rsidRPr="00EC6D06">
        <w:rPr>
          <w:b/>
          <w:bCs/>
        </w:rPr>
        <w:t>2018</w:t>
      </w:r>
      <w:r w:rsidRPr="00EC6D06">
        <w:t xml:space="preserve">, </w:t>
      </w:r>
      <w:r w:rsidRPr="00EC6D06">
        <w:rPr>
          <w:i/>
          <w:iCs/>
        </w:rPr>
        <w:t>132</w:t>
      </w:r>
      <w:r w:rsidRPr="00EC6D06">
        <w:t>, 963, doi:10.1182/blood-2018-99-115558.</w:t>
      </w:r>
    </w:p>
    <w:p w14:paraId="52089024" w14:textId="77777777" w:rsidR="00EC6D06" w:rsidRPr="00EC6D06" w:rsidRDefault="00EC6D06" w:rsidP="00EC6D06">
      <w:pPr>
        <w:pStyle w:val="Bibliografia"/>
      </w:pPr>
      <w:r w:rsidRPr="00EC6D06">
        <w:t xml:space="preserve">7. </w:t>
      </w:r>
      <w:r w:rsidRPr="00EC6D06">
        <w:tab/>
        <w:t xml:space="preserve">Chong, E.A.; </w:t>
      </w:r>
      <w:proofErr w:type="spellStart"/>
      <w:r w:rsidRPr="00EC6D06">
        <w:t>Melenhorst</w:t>
      </w:r>
      <w:proofErr w:type="spellEnd"/>
      <w:r w:rsidRPr="00EC6D06">
        <w:t xml:space="preserve">, J.J.; Lacey, S.F.; Ambrose, D.E.; Gonzalez, V.; Levine, B.L.; June, C.H.; Schuster, S.J. PD-1 Blockade Modulates Chimeric Antigen Receptor (CAR)–Modified T Cells: Refueling the CAR. </w:t>
      </w:r>
      <w:r w:rsidRPr="00EC6D06">
        <w:rPr>
          <w:i/>
          <w:iCs/>
        </w:rPr>
        <w:t>Blood</w:t>
      </w:r>
      <w:r w:rsidRPr="00EC6D06">
        <w:t xml:space="preserve"> </w:t>
      </w:r>
      <w:r w:rsidRPr="00EC6D06">
        <w:rPr>
          <w:b/>
          <w:bCs/>
        </w:rPr>
        <w:t>2017</w:t>
      </w:r>
      <w:r w:rsidRPr="00EC6D06">
        <w:t xml:space="preserve">, </w:t>
      </w:r>
      <w:r w:rsidRPr="00EC6D06">
        <w:rPr>
          <w:i/>
          <w:iCs/>
        </w:rPr>
        <w:t>129</w:t>
      </w:r>
      <w:r w:rsidRPr="00EC6D06">
        <w:t>, 1039–1041, doi:10.1182/blood-2016-09-738245.</w:t>
      </w:r>
    </w:p>
    <w:p w14:paraId="2D8E8AF3" w14:textId="77777777" w:rsidR="00EC6D06" w:rsidRPr="00EC6D06" w:rsidRDefault="00EC6D06" w:rsidP="00EC6D06">
      <w:pPr>
        <w:pStyle w:val="Bibliografia"/>
      </w:pPr>
      <w:r w:rsidRPr="00EC6D06">
        <w:t xml:space="preserve">8. </w:t>
      </w:r>
      <w:r w:rsidRPr="00EC6D06">
        <w:tab/>
        <w:t xml:space="preserve">Hill, J.A.; Li, D.; Hay, K.A.; Green, M.L.; Cherian, S.; Chen, X.; Riddell, S.R.; Maloney, D.G.; Boeckh, M.; Turtle, C.J. Infectious Complications of CD19-Targeted Chimeric Antigen Receptor–Modified T-Cell Immunotherapy. </w:t>
      </w:r>
      <w:r w:rsidRPr="00EC6D06">
        <w:rPr>
          <w:i/>
          <w:iCs/>
        </w:rPr>
        <w:t>Blood</w:t>
      </w:r>
      <w:r w:rsidRPr="00EC6D06">
        <w:t xml:space="preserve"> </w:t>
      </w:r>
      <w:r w:rsidRPr="00EC6D06">
        <w:rPr>
          <w:b/>
          <w:bCs/>
        </w:rPr>
        <w:t>2018</w:t>
      </w:r>
      <w:r w:rsidRPr="00EC6D06">
        <w:t xml:space="preserve">, </w:t>
      </w:r>
      <w:r w:rsidRPr="00EC6D06">
        <w:rPr>
          <w:i/>
          <w:iCs/>
        </w:rPr>
        <w:t>131</w:t>
      </w:r>
      <w:r w:rsidRPr="00EC6D06">
        <w:t>, 121–130, doi:10.1182/blood-2017-07-793760.</w:t>
      </w:r>
    </w:p>
    <w:p w14:paraId="507545E6" w14:textId="77777777" w:rsidR="00EC6D06" w:rsidRPr="00EC6D06" w:rsidRDefault="00EC6D06" w:rsidP="00EC6D06">
      <w:pPr>
        <w:pStyle w:val="Bibliografia"/>
      </w:pPr>
      <w:r w:rsidRPr="00EC6D06">
        <w:t xml:space="preserve">9. </w:t>
      </w:r>
      <w:r w:rsidRPr="00EC6D06">
        <w:tab/>
        <w:t xml:space="preserve">Chong, E.A.; </w:t>
      </w:r>
      <w:proofErr w:type="spellStart"/>
      <w:r w:rsidRPr="00EC6D06">
        <w:t>Alanio</w:t>
      </w:r>
      <w:proofErr w:type="spellEnd"/>
      <w:r w:rsidRPr="00EC6D06">
        <w:t xml:space="preserve">, C.; Svoboda, J.; Nasta, S.D.; Landsburg, D.J.; Lacey, S.F.; Ruella, M.; Bhattacharyya, S.; Wherry, E.J.; Schuster, S.J. Pembrolizumab for B-Cell Lymphomas Relapsing after or Refractory to CD19-Directed CAR T-Cell Therapy. </w:t>
      </w:r>
      <w:r w:rsidRPr="00EC6D06">
        <w:rPr>
          <w:i/>
          <w:iCs/>
        </w:rPr>
        <w:t>Blood</w:t>
      </w:r>
      <w:r w:rsidRPr="00EC6D06">
        <w:t xml:space="preserve"> </w:t>
      </w:r>
      <w:r w:rsidRPr="00EC6D06">
        <w:rPr>
          <w:b/>
          <w:bCs/>
        </w:rPr>
        <w:t>2022</w:t>
      </w:r>
      <w:r w:rsidRPr="00EC6D06">
        <w:t xml:space="preserve">, </w:t>
      </w:r>
      <w:r w:rsidRPr="00EC6D06">
        <w:rPr>
          <w:i/>
          <w:iCs/>
        </w:rPr>
        <w:t>139</w:t>
      </w:r>
      <w:r w:rsidRPr="00EC6D06">
        <w:t>, 1026–1038, doi:10.1182/blood.2021012634.</w:t>
      </w:r>
    </w:p>
    <w:p w14:paraId="3E07562E" w14:textId="77777777" w:rsidR="00EC6D06" w:rsidRPr="00EC6D06" w:rsidRDefault="00EC6D06" w:rsidP="00EC6D06">
      <w:pPr>
        <w:pStyle w:val="Bibliografia"/>
      </w:pPr>
      <w:r w:rsidRPr="00EC6D06">
        <w:t xml:space="preserve">10. </w:t>
      </w:r>
      <w:r w:rsidRPr="00EC6D06">
        <w:tab/>
        <w:t xml:space="preserve">Kotlov, N.; </w:t>
      </w:r>
      <w:proofErr w:type="spellStart"/>
      <w:r w:rsidRPr="00EC6D06">
        <w:t>Bagaev</w:t>
      </w:r>
      <w:proofErr w:type="spellEnd"/>
      <w:r w:rsidRPr="00EC6D06">
        <w:t xml:space="preserve">, A.; Revuelta, M.V.; Phillip, J.M.; Cacciapuoti, M.T.; Antysheva, Z.; </w:t>
      </w:r>
      <w:proofErr w:type="spellStart"/>
      <w:r w:rsidRPr="00EC6D06">
        <w:t>Svekolkin</w:t>
      </w:r>
      <w:proofErr w:type="spellEnd"/>
      <w:r w:rsidRPr="00EC6D06">
        <w:t xml:space="preserve">, V.; Tikhonova, E.; </w:t>
      </w:r>
      <w:proofErr w:type="spellStart"/>
      <w:r w:rsidRPr="00EC6D06">
        <w:t>Miheecheva</w:t>
      </w:r>
      <w:proofErr w:type="spellEnd"/>
      <w:r w:rsidRPr="00EC6D06">
        <w:t xml:space="preserve">, N.; </w:t>
      </w:r>
      <w:proofErr w:type="spellStart"/>
      <w:r w:rsidRPr="00EC6D06">
        <w:t>Kuzkina</w:t>
      </w:r>
      <w:proofErr w:type="spellEnd"/>
      <w:r w:rsidRPr="00EC6D06">
        <w:t xml:space="preserve">, N.; et al. Clinical and Biological Subtypes of B-Cell Lymphoma Revealed by Microenvironmental Signatures. </w:t>
      </w:r>
      <w:r w:rsidRPr="00EC6D06">
        <w:rPr>
          <w:i/>
          <w:iCs/>
        </w:rPr>
        <w:t xml:space="preserve">Cancer </w:t>
      </w:r>
      <w:proofErr w:type="spellStart"/>
      <w:r w:rsidRPr="00EC6D06">
        <w:rPr>
          <w:i/>
          <w:iCs/>
        </w:rPr>
        <w:t>Discov</w:t>
      </w:r>
      <w:proofErr w:type="spellEnd"/>
      <w:r w:rsidRPr="00EC6D06">
        <w:rPr>
          <w:i/>
          <w:iCs/>
        </w:rPr>
        <w:t>.</w:t>
      </w:r>
      <w:r w:rsidRPr="00EC6D06">
        <w:t xml:space="preserve"> </w:t>
      </w:r>
      <w:r w:rsidRPr="00EC6D06">
        <w:rPr>
          <w:b/>
          <w:bCs/>
        </w:rPr>
        <w:t>2021</w:t>
      </w:r>
      <w:r w:rsidRPr="00EC6D06">
        <w:t xml:space="preserve">, </w:t>
      </w:r>
      <w:r w:rsidRPr="00EC6D06">
        <w:rPr>
          <w:i/>
          <w:iCs/>
        </w:rPr>
        <w:t>11</w:t>
      </w:r>
      <w:r w:rsidRPr="00EC6D06">
        <w:t>, 1468–1489, doi:10.1158/2159-8290.CD-20-0839.</w:t>
      </w:r>
    </w:p>
    <w:p w14:paraId="3A820372" w14:textId="77777777" w:rsidR="00EC6D06" w:rsidRPr="00EC6D06" w:rsidRDefault="00EC6D06" w:rsidP="00EC6D06">
      <w:pPr>
        <w:pStyle w:val="Bibliografia"/>
      </w:pPr>
      <w:r w:rsidRPr="00EC6D06">
        <w:t xml:space="preserve">11. </w:t>
      </w:r>
      <w:r w:rsidRPr="00EC6D06">
        <w:tab/>
        <w:t xml:space="preserve">Jain, M.D.; Zhao, H.; Wang, X.; Atkins, R.; Menges, M.; Reid, K.; Spitler, K.; </w:t>
      </w:r>
      <w:proofErr w:type="spellStart"/>
      <w:r w:rsidRPr="00EC6D06">
        <w:t>Faramand</w:t>
      </w:r>
      <w:proofErr w:type="spellEnd"/>
      <w:r w:rsidRPr="00EC6D06">
        <w:t xml:space="preserve">, R.; Bachmeier, C.; Dean, E.A.; et al. Tumor Interferon Signaling and Suppressive Myeloid Cells Are Associated with CAR T-Cell Failure in Large B-Cell Lymphoma. </w:t>
      </w:r>
      <w:r w:rsidRPr="00EC6D06">
        <w:rPr>
          <w:i/>
          <w:iCs/>
        </w:rPr>
        <w:t>Blood</w:t>
      </w:r>
      <w:r w:rsidRPr="00EC6D06">
        <w:t xml:space="preserve"> </w:t>
      </w:r>
      <w:r w:rsidRPr="00EC6D06">
        <w:rPr>
          <w:b/>
          <w:bCs/>
        </w:rPr>
        <w:t>2021</w:t>
      </w:r>
      <w:r w:rsidRPr="00EC6D06">
        <w:t xml:space="preserve">, </w:t>
      </w:r>
      <w:r w:rsidRPr="00EC6D06">
        <w:rPr>
          <w:i/>
          <w:iCs/>
        </w:rPr>
        <w:t>137</w:t>
      </w:r>
      <w:r w:rsidRPr="00EC6D06">
        <w:t>, 2621–2633, doi:10.1182/blood.2020007445.</w:t>
      </w:r>
    </w:p>
    <w:p w14:paraId="28CAF300" w14:textId="77777777" w:rsidR="00EC6D06" w:rsidRPr="00EC6D06" w:rsidRDefault="00EC6D06" w:rsidP="00EC6D06">
      <w:pPr>
        <w:pStyle w:val="Bibliografia"/>
      </w:pPr>
      <w:r w:rsidRPr="00EC6D06">
        <w:t>12</w:t>
      </w:r>
      <w:proofErr w:type="gramStart"/>
      <w:r w:rsidRPr="00EC6D06">
        <w:t xml:space="preserve">. </w:t>
      </w:r>
      <w:r w:rsidRPr="00EC6D06">
        <w:tab/>
        <w:t>Benci</w:t>
      </w:r>
      <w:proofErr w:type="gramEnd"/>
      <w:r w:rsidRPr="00EC6D06">
        <w:t xml:space="preserve">, J.L.; Xu, B.; Qiu, Y.; Wu, T.J.; Dada, H.; Twyman-Saint Victor, C.; Cucolo, L.; Lee, D.S.M.; Pauken, K.E.; Huang, A.C.; et al. Tumor Interferon Signaling Regulates a Multigenic Resistance Program to Immune Checkpoint Blockade. </w:t>
      </w:r>
      <w:r w:rsidRPr="00EC6D06">
        <w:rPr>
          <w:i/>
          <w:iCs/>
        </w:rPr>
        <w:t>Cell</w:t>
      </w:r>
      <w:r w:rsidRPr="00EC6D06">
        <w:t xml:space="preserve"> </w:t>
      </w:r>
      <w:r w:rsidRPr="00EC6D06">
        <w:rPr>
          <w:b/>
          <w:bCs/>
        </w:rPr>
        <w:t>2016</w:t>
      </w:r>
      <w:r w:rsidRPr="00EC6D06">
        <w:t xml:space="preserve">, </w:t>
      </w:r>
      <w:r w:rsidRPr="00EC6D06">
        <w:rPr>
          <w:i/>
          <w:iCs/>
        </w:rPr>
        <w:t>167</w:t>
      </w:r>
      <w:r w:rsidRPr="00EC6D06">
        <w:t xml:space="preserve">, 1540-1554.e12, </w:t>
      </w:r>
      <w:proofErr w:type="gramStart"/>
      <w:r w:rsidRPr="00EC6D06">
        <w:t>doi:10.1016/j.cell</w:t>
      </w:r>
      <w:proofErr w:type="gramEnd"/>
      <w:r w:rsidRPr="00EC6D06">
        <w:t>.2016.11.022.</w:t>
      </w:r>
    </w:p>
    <w:p w14:paraId="0CD8FE86" w14:textId="77777777" w:rsidR="00EC6D06" w:rsidRPr="00EC6D06" w:rsidRDefault="00EC6D06" w:rsidP="00EC6D06">
      <w:pPr>
        <w:pStyle w:val="Bibliografia"/>
      </w:pPr>
      <w:r w:rsidRPr="00EC6D06">
        <w:t xml:space="preserve">13. </w:t>
      </w:r>
      <w:r w:rsidRPr="00EC6D06">
        <w:tab/>
        <w:t xml:space="preserve">Sharma, P.; Goswami, S.; Raychaudhuri, D.; Siddiqui, B.A.; Singh, P.; Nagarajan, A.; Liu, J.; Subudhi, S.K.; Poon, C.; Gant, K.L.; et al. Immune Checkpoint Therapy—Current Perspectives and Future Directions. </w:t>
      </w:r>
      <w:r w:rsidRPr="00EC6D06">
        <w:rPr>
          <w:i/>
          <w:iCs/>
        </w:rPr>
        <w:t>Cell</w:t>
      </w:r>
      <w:r w:rsidRPr="00EC6D06">
        <w:t xml:space="preserve"> </w:t>
      </w:r>
      <w:r w:rsidRPr="00EC6D06">
        <w:rPr>
          <w:b/>
          <w:bCs/>
        </w:rPr>
        <w:t>2023</w:t>
      </w:r>
      <w:r w:rsidRPr="00EC6D06">
        <w:t xml:space="preserve">, </w:t>
      </w:r>
      <w:r w:rsidRPr="00EC6D06">
        <w:rPr>
          <w:i/>
          <w:iCs/>
        </w:rPr>
        <w:t>186</w:t>
      </w:r>
      <w:r w:rsidRPr="00EC6D06">
        <w:t xml:space="preserve">, 1652–1669, </w:t>
      </w:r>
      <w:proofErr w:type="gramStart"/>
      <w:r w:rsidRPr="00EC6D06">
        <w:t>doi:10.1016/j.cell</w:t>
      </w:r>
      <w:proofErr w:type="gramEnd"/>
      <w:r w:rsidRPr="00EC6D06">
        <w:t>.2023.03.006.</w:t>
      </w:r>
    </w:p>
    <w:p w14:paraId="7BA92501" w14:textId="77777777" w:rsidR="00EC6D06" w:rsidRPr="00EC6D06" w:rsidRDefault="00EC6D06" w:rsidP="00EC6D06">
      <w:pPr>
        <w:pStyle w:val="Bibliografia"/>
      </w:pPr>
      <w:r w:rsidRPr="00EC6D06">
        <w:t>14</w:t>
      </w:r>
      <w:proofErr w:type="gramStart"/>
      <w:r w:rsidRPr="00EC6D06">
        <w:t xml:space="preserve">. </w:t>
      </w:r>
      <w:r w:rsidRPr="00EC6D06">
        <w:tab/>
        <w:t>Karin</w:t>
      </w:r>
      <w:proofErr w:type="gramEnd"/>
      <w:r w:rsidRPr="00EC6D06">
        <w:t xml:space="preserve">, M.; </w:t>
      </w:r>
      <w:proofErr w:type="spellStart"/>
      <w:r w:rsidRPr="00EC6D06">
        <w:t>Clevers</w:t>
      </w:r>
      <w:proofErr w:type="spellEnd"/>
      <w:r w:rsidRPr="00EC6D06">
        <w:t xml:space="preserve">, H. Reparative Inflammation Takes Charge of Tissue Regeneration. </w:t>
      </w:r>
      <w:r w:rsidRPr="00EC6D06">
        <w:rPr>
          <w:i/>
          <w:iCs/>
        </w:rPr>
        <w:t>Nature</w:t>
      </w:r>
      <w:r w:rsidRPr="00EC6D06">
        <w:t xml:space="preserve"> </w:t>
      </w:r>
      <w:r w:rsidRPr="00EC6D06">
        <w:rPr>
          <w:b/>
          <w:bCs/>
        </w:rPr>
        <w:t>2016</w:t>
      </w:r>
      <w:r w:rsidRPr="00EC6D06">
        <w:t xml:space="preserve">, </w:t>
      </w:r>
      <w:r w:rsidRPr="00EC6D06">
        <w:rPr>
          <w:i/>
          <w:iCs/>
        </w:rPr>
        <w:t>529</w:t>
      </w:r>
      <w:r w:rsidRPr="00EC6D06">
        <w:t>, 307–315, doi:10.1038/nature17039.</w:t>
      </w:r>
    </w:p>
    <w:p w14:paraId="22FD9EC3" w14:textId="77777777" w:rsidR="00EC6D06" w:rsidRPr="00EC6D06" w:rsidRDefault="00EC6D06" w:rsidP="00EC6D06">
      <w:pPr>
        <w:pStyle w:val="Bibliografia"/>
      </w:pPr>
      <w:r w:rsidRPr="00EC6D06">
        <w:t>15</w:t>
      </w:r>
      <w:proofErr w:type="gramStart"/>
      <w:r w:rsidRPr="00EC6D06">
        <w:t xml:space="preserve">. </w:t>
      </w:r>
      <w:r w:rsidRPr="00EC6D06">
        <w:tab/>
        <w:t>Chaffer</w:t>
      </w:r>
      <w:proofErr w:type="gramEnd"/>
      <w:r w:rsidRPr="00EC6D06">
        <w:t xml:space="preserve">, C.L.; Weinberg, R.A. A Perspective on Cancer Cell Metastasis. </w:t>
      </w:r>
      <w:r w:rsidRPr="00EC6D06">
        <w:rPr>
          <w:i/>
          <w:iCs/>
        </w:rPr>
        <w:t>Science</w:t>
      </w:r>
      <w:r w:rsidRPr="00EC6D06">
        <w:t xml:space="preserve"> </w:t>
      </w:r>
      <w:r w:rsidRPr="00EC6D06">
        <w:rPr>
          <w:b/>
          <w:bCs/>
        </w:rPr>
        <w:t>2011</w:t>
      </w:r>
      <w:r w:rsidRPr="00EC6D06">
        <w:t xml:space="preserve">, </w:t>
      </w:r>
      <w:r w:rsidRPr="00EC6D06">
        <w:rPr>
          <w:i/>
          <w:iCs/>
        </w:rPr>
        <w:t>331</w:t>
      </w:r>
      <w:r w:rsidRPr="00EC6D06">
        <w:t>, 1559–1564, doi:10.1126/science.1203543.</w:t>
      </w:r>
    </w:p>
    <w:p w14:paraId="76C05B01" w14:textId="77777777" w:rsidR="00EC6D06" w:rsidRPr="00EC6D06" w:rsidRDefault="00EC6D06" w:rsidP="00EC6D06">
      <w:pPr>
        <w:pStyle w:val="Bibliografia"/>
      </w:pPr>
      <w:r w:rsidRPr="00EC6D06">
        <w:t xml:space="preserve">16. </w:t>
      </w:r>
      <w:r w:rsidRPr="00EC6D06">
        <w:tab/>
        <w:t xml:space="preserve">Terry, S.; </w:t>
      </w:r>
      <w:proofErr w:type="spellStart"/>
      <w:r w:rsidRPr="00EC6D06">
        <w:t>Savagner</w:t>
      </w:r>
      <w:proofErr w:type="spellEnd"/>
      <w:r w:rsidRPr="00EC6D06">
        <w:t xml:space="preserve">, P.; Ortiz‐Cuaran, S.; </w:t>
      </w:r>
      <w:proofErr w:type="spellStart"/>
      <w:r w:rsidRPr="00EC6D06">
        <w:t>Mahjoubi</w:t>
      </w:r>
      <w:proofErr w:type="spellEnd"/>
      <w:r w:rsidRPr="00EC6D06">
        <w:t xml:space="preserve">, L.; </w:t>
      </w:r>
      <w:proofErr w:type="spellStart"/>
      <w:r w:rsidRPr="00EC6D06">
        <w:t>Saintigny</w:t>
      </w:r>
      <w:proofErr w:type="spellEnd"/>
      <w:r w:rsidRPr="00EC6D06">
        <w:t xml:space="preserve">, P.; Thiery, J.; </w:t>
      </w:r>
      <w:proofErr w:type="spellStart"/>
      <w:r w:rsidRPr="00EC6D06">
        <w:t>Chouaib</w:t>
      </w:r>
      <w:proofErr w:type="spellEnd"/>
      <w:r w:rsidRPr="00EC6D06">
        <w:t xml:space="preserve">, S. New Insights into the Role of </w:t>
      </w:r>
      <w:r w:rsidRPr="00EC6D06">
        <w:rPr>
          <w:smallCaps/>
        </w:rPr>
        <w:t>EMT</w:t>
      </w:r>
      <w:r w:rsidRPr="00EC6D06">
        <w:t xml:space="preserve"> in Tumor Immune Escape. </w:t>
      </w:r>
      <w:r w:rsidRPr="00EC6D06">
        <w:rPr>
          <w:i/>
          <w:iCs/>
        </w:rPr>
        <w:t>Mol. Oncol.</w:t>
      </w:r>
      <w:r w:rsidRPr="00EC6D06">
        <w:t xml:space="preserve"> </w:t>
      </w:r>
      <w:r w:rsidRPr="00EC6D06">
        <w:rPr>
          <w:b/>
          <w:bCs/>
        </w:rPr>
        <w:t>2017</w:t>
      </w:r>
      <w:r w:rsidRPr="00EC6D06">
        <w:t xml:space="preserve">, </w:t>
      </w:r>
      <w:r w:rsidRPr="00EC6D06">
        <w:rPr>
          <w:i/>
          <w:iCs/>
        </w:rPr>
        <w:t>11</w:t>
      </w:r>
      <w:r w:rsidRPr="00EC6D06">
        <w:t>, 824–846, doi:10.1002/1878-0261.12093.</w:t>
      </w:r>
    </w:p>
    <w:p w14:paraId="4C703018" w14:textId="77777777" w:rsidR="00EC6D06" w:rsidRPr="00EC6D06" w:rsidRDefault="00EC6D06" w:rsidP="00EC6D06">
      <w:pPr>
        <w:pStyle w:val="Bibliografia"/>
      </w:pPr>
      <w:r w:rsidRPr="00EC6D06">
        <w:t xml:space="preserve">17. </w:t>
      </w:r>
      <w:r w:rsidRPr="00EC6D06">
        <w:tab/>
        <w:t xml:space="preserve">Galluzzi, L.; Chan, T.A.; Kroemer, G.; </w:t>
      </w:r>
      <w:proofErr w:type="spellStart"/>
      <w:r w:rsidRPr="00EC6D06">
        <w:t>Wolchok</w:t>
      </w:r>
      <w:proofErr w:type="spellEnd"/>
      <w:r w:rsidRPr="00EC6D06">
        <w:t xml:space="preserve">, J.D.; López-Soto, A. The Hallmarks of Successful Anticancer Immunotherapy. </w:t>
      </w:r>
      <w:r w:rsidRPr="00EC6D06">
        <w:rPr>
          <w:i/>
          <w:iCs/>
        </w:rPr>
        <w:t>Sci. Transl. Med.</w:t>
      </w:r>
      <w:r w:rsidRPr="00EC6D06">
        <w:t xml:space="preserve"> </w:t>
      </w:r>
      <w:r w:rsidRPr="00EC6D06">
        <w:rPr>
          <w:b/>
          <w:bCs/>
        </w:rPr>
        <w:t>2018</w:t>
      </w:r>
      <w:r w:rsidRPr="00EC6D06">
        <w:t xml:space="preserve">, </w:t>
      </w:r>
      <w:r w:rsidRPr="00EC6D06">
        <w:rPr>
          <w:i/>
          <w:iCs/>
        </w:rPr>
        <w:t>10</w:t>
      </w:r>
      <w:r w:rsidRPr="00EC6D06">
        <w:t>, eaat7807, doi:10.1126/</w:t>
      </w:r>
      <w:proofErr w:type="gramStart"/>
      <w:r w:rsidRPr="00EC6D06">
        <w:t>scitranslmed.aat</w:t>
      </w:r>
      <w:proofErr w:type="gramEnd"/>
      <w:r w:rsidRPr="00EC6D06">
        <w:t>7807.</w:t>
      </w:r>
    </w:p>
    <w:p w14:paraId="06F1F6F1" w14:textId="77777777" w:rsidR="00EC6D06" w:rsidRPr="00EC6D06" w:rsidRDefault="00EC6D06" w:rsidP="00EC6D06">
      <w:pPr>
        <w:pStyle w:val="Bibliografia"/>
      </w:pPr>
      <w:r w:rsidRPr="00EC6D06">
        <w:lastRenderedPageBreak/>
        <w:t>18</w:t>
      </w:r>
      <w:proofErr w:type="gramStart"/>
      <w:r w:rsidRPr="00EC6D06">
        <w:t xml:space="preserve">. </w:t>
      </w:r>
      <w:r w:rsidRPr="00EC6D06">
        <w:tab/>
        <w:t>Alspach</w:t>
      </w:r>
      <w:proofErr w:type="gramEnd"/>
      <w:r w:rsidRPr="00EC6D06">
        <w:t xml:space="preserve">, E.; Lussier, D.M.; Miceli, A.P.; </w:t>
      </w:r>
      <w:proofErr w:type="spellStart"/>
      <w:r w:rsidRPr="00EC6D06">
        <w:t>Kizhvatov</w:t>
      </w:r>
      <w:proofErr w:type="spellEnd"/>
      <w:r w:rsidRPr="00EC6D06">
        <w:t xml:space="preserve">, I.; DuPage, M.; Luoma, A.M.; Meng, W.; Lichti, C.F.; Esaulova, E.; Vomund, A.N.; et al. MHC-II Neoantigens Shape Tumor Immunity and Response to Immunotherapy. </w:t>
      </w:r>
      <w:r w:rsidRPr="00EC6D06">
        <w:rPr>
          <w:i/>
          <w:iCs/>
        </w:rPr>
        <w:t>Nature</w:t>
      </w:r>
      <w:r w:rsidRPr="00EC6D06">
        <w:t xml:space="preserve"> </w:t>
      </w:r>
      <w:r w:rsidRPr="00EC6D06">
        <w:rPr>
          <w:b/>
          <w:bCs/>
        </w:rPr>
        <w:t>2019</w:t>
      </w:r>
      <w:r w:rsidRPr="00EC6D06">
        <w:t xml:space="preserve">, </w:t>
      </w:r>
      <w:r w:rsidRPr="00EC6D06">
        <w:rPr>
          <w:i/>
          <w:iCs/>
        </w:rPr>
        <w:t>574</w:t>
      </w:r>
      <w:r w:rsidRPr="00EC6D06">
        <w:t>, 696–701, doi:10.1038/s41586-019-1671-8.</w:t>
      </w:r>
    </w:p>
    <w:p w14:paraId="0B9B3673" w14:textId="77777777" w:rsidR="00EC6D06" w:rsidRPr="00EC6D06" w:rsidRDefault="00EC6D06" w:rsidP="00EC6D06">
      <w:pPr>
        <w:pStyle w:val="Bibliografia"/>
      </w:pPr>
      <w:r w:rsidRPr="00EC6D06">
        <w:t xml:space="preserve">19. </w:t>
      </w:r>
      <w:r w:rsidRPr="00EC6D06">
        <w:tab/>
        <w:t xml:space="preserve">Shipp, M.A.; Ross, K.N.; Tamayo, P.; Weng, A.P.; </w:t>
      </w:r>
      <w:proofErr w:type="spellStart"/>
      <w:r w:rsidRPr="00EC6D06">
        <w:t>Kutok</w:t>
      </w:r>
      <w:proofErr w:type="spellEnd"/>
      <w:r w:rsidRPr="00EC6D06">
        <w:t xml:space="preserve">, J.L.; Aguiar, R.C.T.; </w:t>
      </w:r>
      <w:proofErr w:type="spellStart"/>
      <w:r w:rsidRPr="00EC6D06">
        <w:t>Gaasenbeek</w:t>
      </w:r>
      <w:proofErr w:type="spellEnd"/>
      <w:r w:rsidRPr="00EC6D06">
        <w:t xml:space="preserve">, M.; Angelo, M.; Reich, M.; Pinkus, G.S.; et al. Diffuse Large B-Cell Lymphoma Outcome Prediction by Gene-Expression Profiling and Supervised Machine Learning. </w:t>
      </w:r>
      <w:r w:rsidRPr="00EC6D06">
        <w:rPr>
          <w:i/>
          <w:iCs/>
        </w:rPr>
        <w:t>Nat. Med.</w:t>
      </w:r>
      <w:r w:rsidRPr="00EC6D06">
        <w:t xml:space="preserve"> </w:t>
      </w:r>
      <w:r w:rsidRPr="00EC6D06">
        <w:rPr>
          <w:b/>
          <w:bCs/>
        </w:rPr>
        <w:t>2002</w:t>
      </w:r>
      <w:r w:rsidRPr="00EC6D06">
        <w:t xml:space="preserve">, </w:t>
      </w:r>
      <w:r w:rsidRPr="00EC6D06">
        <w:rPr>
          <w:i/>
          <w:iCs/>
        </w:rPr>
        <w:t>8</w:t>
      </w:r>
      <w:r w:rsidRPr="00EC6D06">
        <w:t>, 68–74, doi:10.1038/nm0102-68.</w:t>
      </w:r>
    </w:p>
    <w:p w14:paraId="5C848469" w14:textId="77777777" w:rsidR="00EC6D06" w:rsidRPr="00EC6D06" w:rsidRDefault="00EC6D06" w:rsidP="00EC6D06">
      <w:pPr>
        <w:pStyle w:val="Bibliografia"/>
      </w:pPr>
      <w:r w:rsidRPr="00EC6D06">
        <w:t xml:space="preserve">20. </w:t>
      </w:r>
      <w:r w:rsidRPr="00EC6D06">
        <w:tab/>
        <w:t xml:space="preserve">Becht, E.; Giraldo, N.A.; Lacroix, L.; </w:t>
      </w:r>
      <w:proofErr w:type="spellStart"/>
      <w:r w:rsidRPr="00EC6D06">
        <w:t>Buttard</w:t>
      </w:r>
      <w:proofErr w:type="spellEnd"/>
      <w:r w:rsidRPr="00EC6D06">
        <w:t xml:space="preserve">, B.; </w:t>
      </w:r>
      <w:proofErr w:type="spellStart"/>
      <w:r w:rsidRPr="00EC6D06">
        <w:t>Elarouci</w:t>
      </w:r>
      <w:proofErr w:type="spellEnd"/>
      <w:r w:rsidRPr="00EC6D06">
        <w:t xml:space="preserve">, N.; </w:t>
      </w:r>
      <w:proofErr w:type="spellStart"/>
      <w:r w:rsidRPr="00EC6D06">
        <w:t>Petitprez</w:t>
      </w:r>
      <w:proofErr w:type="spellEnd"/>
      <w:r w:rsidRPr="00EC6D06">
        <w:t xml:space="preserve">, F.; Selves, J.; Laurent-Puig, P.; </w:t>
      </w:r>
      <w:proofErr w:type="spellStart"/>
      <w:r w:rsidRPr="00EC6D06">
        <w:t>Sautès</w:t>
      </w:r>
      <w:proofErr w:type="spellEnd"/>
      <w:r w:rsidRPr="00EC6D06">
        <w:t xml:space="preserve">-Fridman, C.; Fridman, W.H.; et al. Estimating the Population Abundance of Tissue-Infiltrating Immune and Stromal Cell Populations Using Gene Expression. </w:t>
      </w:r>
      <w:r w:rsidRPr="00EC6D06">
        <w:rPr>
          <w:i/>
          <w:iCs/>
        </w:rPr>
        <w:t>Genome Biol.</w:t>
      </w:r>
      <w:r w:rsidRPr="00EC6D06">
        <w:t xml:space="preserve"> </w:t>
      </w:r>
      <w:r w:rsidRPr="00EC6D06">
        <w:rPr>
          <w:b/>
          <w:bCs/>
        </w:rPr>
        <w:t>2016</w:t>
      </w:r>
      <w:r w:rsidRPr="00EC6D06">
        <w:t xml:space="preserve">, </w:t>
      </w:r>
      <w:r w:rsidRPr="00EC6D06">
        <w:rPr>
          <w:i/>
          <w:iCs/>
        </w:rPr>
        <w:t>17</w:t>
      </w:r>
      <w:r w:rsidRPr="00EC6D06">
        <w:t>, 218, doi:10.1186/s13059-016-1070-5.</w:t>
      </w:r>
    </w:p>
    <w:p w14:paraId="62D8978B" w14:textId="77777777" w:rsidR="00EC6D06" w:rsidRPr="00EC6D06" w:rsidRDefault="00EC6D06" w:rsidP="00EC6D06">
      <w:pPr>
        <w:pStyle w:val="Bibliografia"/>
      </w:pPr>
      <w:r w:rsidRPr="00EC6D06">
        <w:t>21</w:t>
      </w:r>
      <w:proofErr w:type="gramStart"/>
      <w:r w:rsidRPr="00EC6D06">
        <w:t xml:space="preserve">. </w:t>
      </w:r>
      <w:r w:rsidRPr="00EC6D06">
        <w:tab/>
        <w:t>Gu</w:t>
      </w:r>
      <w:proofErr w:type="gramEnd"/>
      <w:r w:rsidRPr="00EC6D06">
        <w:t xml:space="preserve">, Z.; </w:t>
      </w:r>
      <w:proofErr w:type="spellStart"/>
      <w:r w:rsidRPr="00EC6D06">
        <w:t>Eils</w:t>
      </w:r>
      <w:proofErr w:type="spellEnd"/>
      <w:r w:rsidRPr="00EC6D06">
        <w:t xml:space="preserve">, R.; Schlesner, M. Complex Heatmaps Reveal Patterns and Correlations in Multidimensional Genomic Data. </w:t>
      </w:r>
      <w:r w:rsidRPr="00EC6D06">
        <w:rPr>
          <w:i/>
          <w:iCs/>
        </w:rPr>
        <w:t>Bioinformatics</w:t>
      </w:r>
      <w:r w:rsidRPr="00EC6D06">
        <w:t xml:space="preserve"> </w:t>
      </w:r>
      <w:r w:rsidRPr="00EC6D06">
        <w:rPr>
          <w:b/>
          <w:bCs/>
        </w:rPr>
        <w:t>2016</w:t>
      </w:r>
      <w:r w:rsidRPr="00EC6D06">
        <w:t xml:space="preserve">, </w:t>
      </w:r>
      <w:r w:rsidRPr="00EC6D06">
        <w:rPr>
          <w:i/>
          <w:iCs/>
        </w:rPr>
        <w:t>32</w:t>
      </w:r>
      <w:r w:rsidRPr="00EC6D06">
        <w:t>, 2847–2849, doi:10.1093/bioinformatics/btw313.</w:t>
      </w:r>
    </w:p>
    <w:p w14:paraId="2A3AA2D0" w14:textId="77777777" w:rsidR="00EC6D06" w:rsidRPr="00EC6D06" w:rsidRDefault="00EC6D06" w:rsidP="00EC6D06">
      <w:pPr>
        <w:pStyle w:val="Bibliografia"/>
      </w:pPr>
      <w:r w:rsidRPr="00EC6D06">
        <w:t>22</w:t>
      </w:r>
      <w:proofErr w:type="gramStart"/>
      <w:r w:rsidRPr="00EC6D06">
        <w:t xml:space="preserve">. </w:t>
      </w:r>
      <w:r w:rsidRPr="00EC6D06">
        <w:tab/>
        <w:t>Ritchie</w:t>
      </w:r>
      <w:proofErr w:type="gramEnd"/>
      <w:r w:rsidRPr="00EC6D06">
        <w:t xml:space="preserve">, M.E.; </w:t>
      </w:r>
      <w:proofErr w:type="spellStart"/>
      <w:r w:rsidRPr="00EC6D06">
        <w:t>Phipson</w:t>
      </w:r>
      <w:proofErr w:type="spellEnd"/>
      <w:r w:rsidRPr="00EC6D06">
        <w:t xml:space="preserve">, B.; Wu, D.; Hu, Y.; Law, C.W.; Shi, W.; Smyth, G.K. </w:t>
      </w:r>
      <w:proofErr w:type="spellStart"/>
      <w:r w:rsidRPr="00EC6D06">
        <w:t>Limma</w:t>
      </w:r>
      <w:proofErr w:type="spellEnd"/>
      <w:r w:rsidRPr="00EC6D06">
        <w:t xml:space="preserve"> Powers Differential Expression Analyses for RNA-Sequencing and Microarray Studies. </w:t>
      </w:r>
      <w:r w:rsidRPr="00EC6D06">
        <w:rPr>
          <w:i/>
          <w:iCs/>
        </w:rPr>
        <w:t>Nucleic Acids Res.</w:t>
      </w:r>
      <w:r w:rsidRPr="00EC6D06">
        <w:t xml:space="preserve"> </w:t>
      </w:r>
      <w:r w:rsidRPr="00EC6D06">
        <w:rPr>
          <w:b/>
          <w:bCs/>
        </w:rPr>
        <w:t>2015</w:t>
      </w:r>
      <w:r w:rsidRPr="00EC6D06">
        <w:t xml:space="preserve">, </w:t>
      </w:r>
      <w:r w:rsidRPr="00EC6D06">
        <w:rPr>
          <w:i/>
          <w:iCs/>
        </w:rPr>
        <w:t>43</w:t>
      </w:r>
      <w:r w:rsidRPr="00EC6D06">
        <w:t>, e47–e47, doi:10.1093/</w:t>
      </w:r>
      <w:proofErr w:type="spellStart"/>
      <w:r w:rsidRPr="00EC6D06">
        <w:t>nar</w:t>
      </w:r>
      <w:proofErr w:type="spellEnd"/>
      <w:r w:rsidRPr="00EC6D06">
        <w:t>/gkv007.</w:t>
      </w:r>
    </w:p>
    <w:p w14:paraId="2684CDF2" w14:textId="77777777" w:rsidR="00EC6D06" w:rsidRPr="00EC6D06" w:rsidRDefault="00EC6D06" w:rsidP="00EC6D06">
      <w:pPr>
        <w:pStyle w:val="Bibliografia"/>
      </w:pPr>
      <w:r w:rsidRPr="00EC6D06">
        <w:t xml:space="preserve">23. </w:t>
      </w:r>
      <w:r w:rsidRPr="00EC6D06">
        <w:tab/>
      </w:r>
      <w:proofErr w:type="spellStart"/>
      <w:r w:rsidRPr="00EC6D06">
        <w:t>Hänzelmann</w:t>
      </w:r>
      <w:proofErr w:type="spellEnd"/>
      <w:r w:rsidRPr="00EC6D06">
        <w:t xml:space="preserve">, S.; Castelo, R.; </w:t>
      </w:r>
      <w:proofErr w:type="spellStart"/>
      <w:r w:rsidRPr="00EC6D06">
        <w:t>Guinney</w:t>
      </w:r>
      <w:proofErr w:type="spellEnd"/>
      <w:r w:rsidRPr="00EC6D06">
        <w:t xml:space="preserve">, J. GSVA: Gene Set Variation Analysis for Microarray and RNA-Seq Data. </w:t>
      </w:r>
      <w:r w:rsidRPr="00EC6D06">
        <w:rPr>
          <w:i/>
          <w:iCs/>
        </w:rPr>
        <w:t>BMC Bioinformatics</w:t>
      </w:r>
      <w:r w:rsidRPr="00EC6D06">
        <w:t xml:space="preserve"> </w:t>
      </w:r>
      <w:r w:rsidRPr="00EC6D06">
        <w:rPr>
          <w:b/>
          <w:bCs/>
        </w:rPr>
        <w:t>2013</w:t>
      </w:r>
      <w:r w:rsidRPr="00EC6D06">
        <w:t xml:space="preserve">, </w:t>
      </w:r>
      <w:r w:rsidRPr="00EC6D06">
        <w:rPr>
          <w:i/>
          <w:iCs/>
        </w:rPr>
        <w:t>14</w:t>
      </w:r>
      <w:r w:rsidRPr="00EC6D06">
        <w:t>, 7, doi:10.1186/1471-2105-14-7.</w:t>
      </w:r>
    </w:p>
    <w:p w14:paraId="4FDD8239" w14:textId="77777777" w:rsidR="00EC6D06" w:rsidRPr="00EC6D06" w:rsidRDefault="00EC6D06" w:rsidP="00EC6D06">
      <w:pPr>
        <w:pStyle w:val="Bibliografia"/>
      </w:pPr>
      <w:r w:rsidRPr="00EC6D06">
        <w:t xml:space="preserve">24. </w:t>
      </w:r>
      <w:r w:rsidRPr="00EC6D06">
        <w:tab/>
      </w:r>
      <w:proofErr w:type="spellStart"/>
      <w:r w:rsidRPr="00EC6D06">
        <w:t>Liberzon</w:t>
      </w:r>
      <w:proofErr w:type="spellEnd"/>
      <w:r w:rsidRPr="00EC6D06">
        <w:t xml:space="preserve">, A.; Birger, C.; </w:t>
      </w:r>
      <w:proofErr w:type="spellStart"/>
      <w:r w:rsidRPr="00EC6D06">
        <w:t>Thorvaldsdóttir</w:t>
      </w:r>
      <w:proofErr w:type="spellEnd"/>
      <w:r w:rsidRPr="00EC6D06">
        <w:t xml:space="preserve">, H.; Ghandi, M.; </w:t>
      </w:r>
      <w:proofErr w:type="spellStart"/>
      <w:r w:rsidRPr="00EC6D06">
        <w:t>Mesirov</w:t>
      </w:r>
      <w:proofErr w:type="spellEnd"/>
      <w:r w:rsidRPr="00EC6D06">
        <w:t xml:space="preserve">, J.P.; Tamayo, P. The Molecular Signatures Database Hallmark Gene Set Collection. </w:t>
      </w:r>
      <w:r w:rsidRPr="00EC6D06">
        <w:rPr>
          <w:i/>
          <w:iCs/>
        </w:rPr>
        <w:t>Cell Syst.</w:t>
      </w:r>
      <w:r w:rsidRPr="00EC6D06">
        <w:t xml:space="preserve"> </w:t>
      </w:r>
      <w:r w:rsidRPr="00EC6D06">
        <w:rPr>
          <w:b/>
          <w:bCs/>
        </w:rPr>
        <w:t>2015</w:t>
      </w:r>
      <w:r w:rsidRPr="00EC6D06">
        <w:t xml:space="preserve">, </w:t>
      </w:r>
      <w:r w:rsidRPr="00EC6D06">
        <w:rPr>
          <w:i/>
          <w:iCs/>
        </w:rPr>
        <w:t>1</w:t>
      </w:r>
      <w:r w:rsidRPr="00EC6D06">
        <w:t xml:space="preserve">, 417–425, </w:t>
      </w:r>
      <w:proofErr w:type="gramStart"/>
      <w:r w:rsidRPr="00EC6D06">
        <w:t>doi:10.1016/j.cels</w:t>
      </w:r>
      <w:proofErr w:type="gramEnd"/>
      <w:r w:rsidRPr="00EC6D06">
        <w:t>.2015.12.004.</w:t>
      </w:r>
    </w:p>
    <w:p w14:paraId="7FD99F38" w14:textId="77777777" w:rsidR="00EC6D06" w:rsidRPr="00EC6D06" w:rsidRDefault="00EC6D06" w:rsidP="00EC6D06">
      <w:pPr>
        <w:pStyle w:val="Bibliografia"/>
      </w:pPr>
      <w:r w:rsidRPr="00EC6D06">
        <w:t xml:space="preserve">25. </w:t>
      </w:r>
      <w:r w:rsidRPr="00EC6D06">
        <w:tab/>
        <w:t xml:space="preserve">Korotkevich, G.; Sukhov, V.; Budin, N.; Shpak, B.; Artyomov, M.N.; </w:t>
      </w:r>
      <w:proofErr w:type="spellStart"/>
      <w:r w:rsidRPr="00EC6D06">
        <w:t>Sergushichev</w:t>
      </w:r>
      <w:proofErr w:type="spellEnd"/>
      <w:r w:rsidRPr="00EC6D06">
        <w:t>, A. Fast Gene Set Enrichment Analysis 2016.</w:t>
      </w:r>
    </w:p>
    <w:p w14:paraId="5ABE115E" w14:textId="77777777" w:rsidR="00EC6D06" w:rsidRPr="00EC6D06" w:rsidRDefault="00EC6D06" w:rsidP="00EC6D06">
      <w:pPr>
        <w:pStyle w:val="Bibliografia"/>
      </w:pPr>
      <w:r w:rsidRPr="00EC6D06">
        <w:t xml:space="preserve">26. </w:t>
      </w:r>
      <w:r w:rsidRPr="00EC6D06">
        <w:tab/>
      </w:r>
      <w:proofErr w:type="spellStart"/>
      <w:r w:rsidRPr="00EC6D06">
        <w:t>Therneau</w:t>
      </w:r>
      <w:proofErr w:type="spellEnd"/>
      <w:r w:rsidRPr="00EC6D06">
        <w:t>, T.M. Survival: Survival Analysis 2001, 3.8-9.</w:t>
      </w:r>
    </w:p>
    <w:p w14:paraId="48AD1DE3" w14:textId="77777777" w:rsidR="00EC6D06" w:rsidRPr="00EC6D06" w:rsidRDefault="00EC6D06" w:rsidP="00EC6D06">
      <w:pPr>
        <w:pStyle w:val="Bibliografia"/>
      </w:pPr>
      <w:r w:rsidRPr="00EC6D06">
        <w:t xml:space="preserve">27. </w:t>
      </w:r>
      <w:r w:rsidRPr="00EC6D06">
        <w:tab/>
      </w:r>
      <w:proofErr w:type="spellStart"/>
      <w:r w:rsidRPr="00EC6D06">
        <w:t>Kassambara</w:t>
      </w:r>
      <w:proofErr w:type="spellEnd"/>
      <w:r w:rsidRPr="00EC6D06">
        <w:t xml:space="preserve">, A.; Kosinski, M.; Biecek, P. </w:t>
      </w:r>
      <w:proofErr w:type="spellStart"/>
      <w:r w:rsidRPr="00EC6D06">
        <w:t>Survminer</w:t>
      </w:r>
      <w:proofErr w:type="spellEnd"/>
      <w:r w:rsidRPr="00EC6D06">
        <w:t>: Drawing Survival Curves Using “Ggplot2” 2016, 0.5.2.</w:t>
      </w:r>
    </w:p>
    <w:p w14:paraId="34606608" w14:textId="77777777" w:rsidR="00EC6D06" w:rsidRPr="00EC6D06" w:rsidRDefault="00EC6D06" w:rsidP="00EC6D06">
      <w:pPr>
        <w:pStyle w:val="Bibliografia"/>
      </w:pPr>
      <w:r w:rsidRPr="00EC6D06">
        <w:t>28</w:t>
      </w:r>
      <w:proofErr w:type="gramStart"/>
      <w:r w:rsidRPr="00EC6D06">
        <w:t xml:space="preserve">. </w:t>
      </w:r>
      <w:r w:rsidRPr="00EC6D06">
        <w:tab/>
        <w:t>Wilcoxon</w:t>
      </w:r>
      <w:proofErr w:type="gramEnd"/>
      <w:r w:rsidRPr="00EC6D06">
        <w:t xml:space="preserve">, F. Individual Comparisons by Ranking Methods. </w:t>
      </w:r>
      <w:proofErr w:type="spellStart"/>
      <w:r w:rsidRPr="00EC6D06">
        <w:rPr>
          <w:i/>
          <w:iCs/>
        </w:rPr>
        <w:t>Biom</w:t>
      </w:r>
      <w:proofErr w:type="spellEnd"/>
      <w:r w:rsidRPr="00EC6D06">
        <w:rPr>
          <w:i/>
          <w:iCs/>
        </w:rPr>
        <w:t>. Bull.</w:t>
      </w:r>
      <w:r w:rsidRPr="00EC6D06">
        <w:t xml:space="preserve"> </w:t>
      </w:r>
      <w:r w:rsidRPr="00EC6D06">
        <w:rPr>
          <w:b/>
          <w:bCs/>
        </w:rPr>
        <w:t>1945</w:t>
      </w:r>
      <w:r w:rsidRPr="00EC6D06">
        <w:t xml:space="preserve">, </w:t>
      </w:r>
      <w:r w:rsidRPr="00EC6D06">
        <w:rPr>
          <w:i/>
          <w:iCs/>
        </w:rPr>
        <w:t>1</w:t>
      </w:r>
      <w:r w:rsidRPr="00EC6D06">
        <w:t>, 80, doi:10.2307/3001968.</w:t>
      </w:r>
    </w:p>
    <w:p w14:paraId="71370F34" w14:textId="77777777" w:rsidR="00EC6D06" w:rsidRPr="00EC6D06" w:rsidRDefault="00EC6D06" w:rsidP="00EC6D06">
      <w:pPr>
        <w:pStyle w:val="Bibliografia"/>
      </w:pPr>
      <w:r w:rsidRPr="00EC6D06">
        <w:t>29</w:t>
      </w:r>
      <w:proofErr w:type="gramStart"/>
      <w:r w:rsidRPr="00EC6D06">
        <w:t xml:space="preserve">. </w:t>
      </w:r>
      <w:r w:rsidRPr="00EC6D06">
        <w:tab/>
        <w:t>Mann</w:t>
      </w:r>
      <w:proofErr w:type="gramEnd"/>
      <w:r w:rsidRPr="00EC6D06">
        <w:t xml:space="preserve">, H.B.; Whitney, D.R. On a Test of Whether One of Two Random Variables Is Stochastically Larger than the Other. </w:t>
      </w:r>
      <w:r w:rsidRPr="00EC6D06">
        <w:rPr>
          <w:i/>
          <w:iCs/>
        </w:rPr>
        <w:t>Ann. Math. Stat.</w:t>
      </w:r>
      <w:r w:rsidRPr="00EC6D06">
        <w:t xml:space="preserve"> </w:t>
      </w:r>
      <w:r w:rsidRPr="00EC6D06">
        <w:rPr>
          <w:b/>
          <w:bCs/>
        </w:rPr>
        <w:t>1947</w:t>
      </w:r>
      <w:r w:rsidRPr="00EC6D06">
        <w:t xml:space="preserve">, </w:t>
      </w:r>
      <w:r w:rsidRPr="00EC6D06">
        <w:rPr>
          <w:i/>
          <w:iCs/>
        </w:rPr>
        <w:t>18</w:t>
      </w:r>
      <w:r w:rsidRPr="00EC6D06">
        <w:t>, 50–60, doi:10.1214/</w:t>
      </w:r>
      <w:proofErr w:type="spellStart"/>
      <w:r w:rsidRPr="00EC6D06">
        <w:t>aoms</w:t>
      </w:r>
      <w:proofErr w:type="spellEnd"/>
      <w:r w:rsidRPr="00EC6D06">
        <w:t>/1177730491.</w:t>
      </w:r>
    </w:p>
    <w:p w14:paraId="684F36F9" w14:textId="77777777" w:rsidR="00EC6D06" w:rsidRPr="00EC6D06" w:rsidRDefault="00EC6D06" w:rsidP="00EC6D06">
      <w:pPr>
        <w:pStyle w:val="Bibliografia"/>
      </w:pPr>
      <w:r w:rsidRPr="00EC6D06">
        <w:t>30</w:t>
      </w:r>
      <w:proofErr w:type="gramStart"/>
      <w:r w:rsidRPr="00EC6D06">
        <w:t xml:space="preserve">. </w:t>
      </w:r>
      <w:r w:rsidRPr="00EC6D06">
        <w:tab/>
        <w:t>Benjamini</w:t>
      </w:r>
      <w:proofErr w:type="gramEnd"/>
      <w:r w:rsidRPr="00EC6D06">
        <w:t xml:space="preserve">, Y.; Hochberg, Y. Controlling the False Discovery Rate: A Practical and Powerful Approach to Multiple Testing. </w:t>
      </w:r>
      <w:r w:rsidRPr="00EC6D06">
        <w:rPr>
          <w:i/>
          <w:iCs/>
        </w:rPr>
        <w:t xml:space="preserve">J. R. Stat. Soc. Ser. B Stat. </w:t>
      </w:r>
      <w:proofErr w:type="spellStart"/>
      <w:r w:rsidRPr="00EC6D06">
        <w:rPr>
          <w:i/>
          <w:iCs/>
        </w:rPr>
        <w:t>Methodol</w:t>
      </w:r>
      <w:proofErr w:type="spellEnd"/>
      <w:r w:rsidRPr="00EC6D06">
        <w:rPr>
          <w:i/>
          <w:iCs/>
        </w:rPr>
        <w:t>.</w:t>
      </w:r>
      <w:r w:rsidRPr="00EC6D06">
        <w:t xml:space="preserve"> </w:t>
      </w:r>
      <w:r w:rsidRPr="00EC6D06">
        <w:rPr>
          <w:b/>
          <w:bCs/>
        </w:rPr>
        <w:t>1995</w:t>
      </w:r>
      <w:r w:rsidRPr="00EC6D06">
        <w:t xml:space="preserve">, </w:t>
      </w:r>
      <w:r w:rsidRPr="00EC6D06">
        <w:rPr>
          <w:i/>
          <w:iCs/>
        </w:rPr>
        <w:t>57</w:t>
      </w:r>
      <w:r w:rsidRPr="00EC6D06">
        <w:t>, 289–300, doi:10.1111/j.2517-</w:t>
      </w:r>
      <w:proofErr w:type="gramStart"/>
      <w:r w:rsidRPr="00EC6D06">
        <w:t>6161.1995.tb02031.x.</w:t>
      </w:r>
      <w:proofErr w:type="gramEnd"/>
    </w:p>
    <w:p w14:paraId="41FCDCAD" w14:textId="77777777" w:rsidR="00EC6D06" w:rsidRPr="00EC6D06" w:rsidRDefault="00EC6D06" w:rsidP="00EC6D06">
      <w:pPr>
        <w:pStyle w:val="Bibliografia"/>
      </w:pPr>
      <w:r w:rsidRPr="00EC6D06">
        <w:t>31</w:t>
      </w:r>
      <w:proofErr w:type="gramStart"/>
      <w:r w:rsidRPr="00EC6D06">
        <w:t xml:space="preserve">. </w:t>
      </w:r>
      <w:r w:rsidRPr="00EC6D06">
        <w:tab/>
        <w:t>Wickham</w:t>
      </w:r>
      <w:proofErr w:type="gramEnd"/>
      <w:r w:rsidRPr="00EC6D06">
        <w:t xml:space="preserve">, H. Data Analysis. In </w:t>
      </w:r>
      <w:r w:rsidRPr="00EC6D06">
        <w:rPr>
          <w:i/>
          <w:iCs/>
        </w:rPr>
        <w:t>ggplot2</w:t>
      </w:r>
      <w:r w:rsidRPr="00EC6D06">
        <w:t xml:space="preserve">; Use </w:t>
      </w:r>
      <w:proofErr w:type="gramStart"/>
      <w:r w:rsidRPr="00EC6D06">
        <w:t>R!;</w:t>
      </w:r>
      <w:proofErr w:type="gramEnd"/>
      <w:r w:rsidRPr="00EC6D06">
        <w:t xml:space="preserve"> Springer International Publishing: Cham, 2016; pp. 189–201 ISBN 978-3-319-24275-0.</w:t>
      </w:r>
    </w:p>
    <w:p w14:paraId="1CAABA1B" w14:textId="77777777" w:rsidR="00EC6D06" w:rsidRPr="00EC6D06" w:rsidRDefault="00EC6D06" w:rsidP="00EC6D06">
      <w:pPr>
        <w:pStyle w:val="Bibliografia"/>
      </w:pPr>
      <w:r w:rsidRPr="00EC6D06">
        <w:t>32</w:t>
      </w:r>
      <w:proofErr w:type="gramStart"/>
      <w:r w:rsidRPr="00EC6D06">
        <w:t xml:space="preserve">. </w:t>
      </w:r>
      <w:r w:rsidRPr="00EC6D06">
        <w:tab/>
      </w:r>
      <w:proofErr w:type="spellStart"/>
      <w:r w:rsidRPr="00EC6D06">
        <w:t>Zuguang</w:t>
      </w:r>
      <w:proofErr w:type="spellEnd"/>
      <w:proofErr w:type="gramEnd"/>
      <w:r w:rsidRPr="00EC6D06">
        <w:t xml:space="preserve"> Gu </w:t>
      </w:r>
      <w:proofErr w:type="spellStart"/>
      <w:r w:rsidRPr="00EC6D06">
        <w:t>ComplexHeatmap</w:t>
      </w:r>
      <w:proofErr w:type="spellEnd"/>
      <w:r w:rsidRPr="00EC6D06">
        <w:t xml:space="preserve"> 2017.</w:t>
      </w:r>
    </w:p>
    <w:p w14:paraId="5CB26ECE" w14:textId="77777777" w:rsidR="00EC6D06" w:rsidRPr="00EC6D06" w:rsidRDefault="00EC6D06" w:rsidP="00EC6D06">
      <w:pPr>
        <w:pStyle w:val="Bibliografia"/>
      </w:pPr>
      <w:r w:rsidRPr="00EC6D06">
        <w:t xml:space="preserve">33. </w:t>
      </w:r>
      <w:r w:rsidRPr="00EC6D06">
        <w:tab/>
        <w:t xml:space="preserve">Locke, F.L.; </w:t>
      </w:r>
      <w:proofErr w:type="spellStart"/>
      <w:r w:rsidRPr="00EC6D06">
        <w:t>Filosto</w:t>
      </w:r>
      <w:proofErr w:type="spellEnd"/>
      <w:r w:rsidRPr="00EC6D06">
        <w:t xml:space="preserve">, S.; Chou, J.; </w:t>
      </w:r>
      <w:proofErr w:type="spellStart"/>
      <w:r w:rsidRPr="00EC6D06">
        <w:t>Vardhanabhuti</w:t>
      </w:r>
      <w:proofErr w:type="spellEnd"/>
      <w:r w:rsidRPr="00EC6D06">
        <w:t xml:space="preserve">, S.; </w:t>
      </w:r>
      <w:proofErr w:type="spellStart"/>
      <w:r w:rsidRPr="00EC6D06">
        <w:t>Perbost</w:t>
      </w:r>
      <w:proofErr w:type="spellEnd"/>
      <w:r w:rsidRPr="00EC6D06">
        <w:t xml:space="preserve">, R.; Dreger, P.; Hill, B.T.; Lee, C.; </w:t>
      </w:r>
      <w:proofErr w:type="spellStart"/>
      <w:r w:rsidRPr="00EC6D06">
        <w:t>Zinzani</w:t>
      </w:r>
      <w:proofErr w:type="spellEnd"/>
      <w:r w:rsidRPr="00EC6D06">
        <w:t xml:space="preserve">, P.L.; Kröger, N.; et al. Impact of Tumor Microenvironment on Efficacy of Anti-CD19 CAR T Cell Therapy or Chemotherapy and Transplant in Large B Cell Lymphoma. </w:t>
      </w:r>
      <w:r w:rsidRPr="00EC6D06">
        <w:rPr>
          <w:i/>
          <w:iCs/>
        </w:rPr>
        <w:t>Nat. Med.</w:t>
      </w:r>
      <w:r w:rsidRPr="00EC6D06">
        <w:t xml:space="preserve"> </w:t>
      </w:r>
      <w:r w:rsidRPr="00EC6D06">
        <w:rPr>
          <w:b/>
          <w:bCs/>
        </w:rPr>
        <w:t>2024</w:t>
      </w:r>
      <w:r w:rsidRPr="00EC6D06">
        <w:t xml:space="preserve">, </w:t>
      </w:r>
      <w:r w:rsidRPr="00EC6D06">
        <w:rPr>
          <w:i/>
          <w:iCs/>
        </w:rPr>
        <w:t>30</w:t>
      </w:r>
      <w:r w:rsidRPr="00EC6D06">
        <w:t>, 507–518, doi:10.1038/s41591-023-02754-1.</w:t>
      </w:r>
    </w:p>
    <w:p w14:paraId="4451BC3D" w14:textId="77777777" w:rsidR="00EC6D06" w:rsidRPr="00EC6D06" w:rsidRDefault="00EC6D06" w:rsidP="00EC6D06">
      <w:pPr>
        <w:pStyle w:val="Bibliografia"/>
      </w:pPr>
      <w:r w:rsidRPr="00EC6D06">
        <w:t xml:space="preserve">34. </w:t>
      </w:r>
      <w:r w:rsidRPr="00EC6D06">
        <w:tab/>
        <w:t xml:space="preserve">Scholler, N.; </w:t>
      </w:r>
      <w:proofErr w:type="spellStart"/>
      <w:r w:rsidRPr="00EC6D06">
        <w:t>Perbost</w:t>
      </w:r>
      <w:proofErr w:type="spellEnd"/>
      <w:r w:rsidRPr="00EC6D06">
        <w:t xml:space="preserve">, R.; Locke, F.L.; Jain, M.D.; Turcan, S.; Danan, C.; Chang, E.C.; </w:t>
      </w:r>
      <w:proofErr w:type="spellStart"/>
      <w:r w:rsidRPr="00EC6D06">
        <w:t>Neelapu</w:t>
      </w:r>
      <w:proofErr w:type="spellEnd"/>
      <w:r w:rsidRPr="00EC6D06">
        <w:t xml:space="preserve">, S.S.; Miklos, D.B.; Jacobson, C.A.; et al. Tumor Immune Contexture Is a Determinant of Anti-CD19 CAR T Cell Efficacy in Large B Cell Lymphoma. </w:t>
      </w:r>
      <w:r w:rsidRPr="00EC6D06">
        <w:rPr>
          <w:i/>
          <w:iCs/>
        </w:rPr>
        <w:t>Nat. Med.</w:t>
      </w:r>
      <w:r w:rsidRPr="00EC6D06">
        <w:t xml:space="preserve"> </w:t>
      </w:r>
      <w:r w:rsidRPr="00EC6D06">
        <w:rPr>
          <w:b/>
          <w:bCs/>
        </w:rPr>
        <w:t>2022</w:t>
      </w:r>
      <w:r w:rsidRPr="00EC6D06">
        <w:t xml:space="preserve">, </w:t>
      </w:r>
      <w:r w:rsidRPr="00EC6D06">
        <w:rPr>
          <w:i/>
          <w:iCs/>
        </w:rPr>
        <w:t>28</w:t>
      </w:r>
      <w:r w:rsidRPr="00EC6D06">
        <w:t>, 1872–1882, doi:10.1038/s41591-022-01916-x.</w:t>
      </w:r>
    </w:p>
    <w:p w14:paraId="0EAF3D1D" w14:textId="77777777" w:rsidR="00EC6D06" w:rsidRPr="00EC6D06" w:rsidRDefault="00EC6D06" w:rsidP="00EC6D06">
      <w:pPr>
        <w:pStyle w:val="Bibliografia"/>
      </w:pPr>
      <w:r w:rsidRPr="00EC6D06">
        <w:t>35</w:t>
      </w:r>
      <w:proofErr w:type="gramStart"/>
      <w:r w:rsidRPr="00EC6D06">
        <w:t xml:space="preserve">. </w:t>
      </w:r>
      <w:r w:rsidRPr="00EC6D06">
        <w:tab/>
        <w:t>Beltran</w:t>
      </w:r>
      <w:proofErr w:type="gramEnd"/>
      <w:r w:rsidRPr="00EC6D06">
        <w:t xml:space="preserve">, H.; </w:t>
      </w:r>
      <w:proofErr w:type="spellStart"/>
      <w:r w:rsidRPr="00EC6D06">
        <w:t>Hruszkewycz</w:t>
      </w:r>
      <w:proofErr w:type="spellEnd"/>
      <w:r w:rsidRPr="00EC6D06">
        <w:t xml:space="preserve">, A.; Scher, H.I.; Hildesheim, J.; Isaacs, J.; Yu, E.Y.; Kelly, K.; Lin, D.; Dicker, A.; Arnold, J.; et al. The Role of Lineage Plasticity in Prostate Cancer Therapy Resistance. </w:t>
      </w:r>
      <w:r w:rsidRPr="00EC6D06">
        <w:rPr>
          <w:i/>
          <w:iCs/>
        </w:rPr>
        <w:t>Clin. Cancer Res.</w:t>
      </w:r>
      <w:r w:rsidRPr="00EC6D06">
        <w:t xml:space="preserve"> </w:t>
      </w:r>
      <w:r w:rsidRPr="00EC6D06">
        <w:rPr>
          <w:b/>
          <w:bCs/>
        </w:rPr>
        <w:t>2019</w:t>
      </w:r>
      <w:r w:rsidRPr="00EC6D06">
        <w:t xml:space="preserve">, </w:t>
      </w:r>
      <w:r w:rsidRPr="00EC6D06">
        <w:rPr>
          <w:i/>
          <w:iCs/>
        </w:rPr>
        <w:t>25</w:t>
      </w:r>
      <w:r w:rsidRPr="00EC6D06">
        <w:t xml:space="preserve">, 6916–6924, </w:t>
      </w:r>
      <w:proofErr w:type="gramStart"/>
      <w:r w:rsidRPr="00EC6D06">
        <w:t>doi:10.1158/1078-0432.CCR</w:t>
      </w:r>
      <w:proofErr w:type="gramEnd"/>
      <w:r w:rsidRPr="00EC6D06">
        <w:t>-19-1423.</w:t>
      </w:r>
    </w:p>
    <w:p w14:paraId="73C849EA" w14:textId="77777777" w:rsidR="00EC6D06" w:rsidRPr="00EC6D06" w:rsidRDefault="00EC6D06" w:rsidP="00EC6D06">
      <w:pPr>
        <w:pStyle w:val="Bibliografia"/>
      </w:pPr>
      <w:r w:rsidRPr="00EC6D06">
        <w:t xml:space="preserve">36. </w:t>
      </w:r>
      <w:r w:rsidRPr="00EC6D06">
        <w:tab/>
        <w:t xml:space="preserve">Dufva, O.; </w:t>
      </w:r>
      <w:proofErr w:type="spellStart"/>
      <w:r w:rsidRPr="00EC6D06">
        <w:t>Pölönen</w:t>
      </w:r>
      <w:proofErr w:type="spellEnd"/>
      <w:r w:rsidRPr="00EC6D06">
        <w:t xml:space="preserve">, P.; Brück, O.; Keränen, M.A.I.; </w:t>
      </w:r>
      <w:proofErr w:type="spellStart"/>
      <w:r w:rsidRPr="00EC6D06">
        <w:t>Klievink</w:t>
      </w:r>
      <w:proofErr w:type="spellEnd"/>
      <w:r w:rsidRPr="00EC6D06">
        <w:t xml:space="preserve">, J.; </w:t>
      </w:r>
      <w:proofErr w:type="spellStart"/>
      <w:r w:rsidRPr="00EC6D06">
        <w:t>Mehtonen</w:t>
      </w:r>
      <w:proofErr w:type="spellEnd"/>
      <w:r w:rsidRPr="00EC6D06">
        <w:t xml:space="preserve">, J.; </w:t>
      </w:r>
      <w:proofErr w:type="spellStart"/>
      <w:r w:rsidRPr="00EC6D06">
        <w:t>Huuhtanen</w:t>
      </w:r>
      <w:proofErr w:type="spellEnd"/>
      <w:r w:rsidRPr="00EC6D06">
        <w:t xml:space="preserve">, J.; Kumar, A.; Malani, D.; Siitonen, S.; et al. Immunogenomic Landscape of Hematological Malignancies. </w:t>
      </w:r>
      <w:r w:rsidRPr="00EC6D06">
        <w:rPr>
          <w:i/>
          <w:iCs/>
        </w:rPr>
        <w:t>Cancer Cell</w:t>
      </w:r>
      <w:r w:rsidRPr="00EC6D06">
        <w:t xml:space="preserve"> </w:t>
      </w:r>
      <w:r w:rsidRPr="00EC6D06">
        <w:rPr>
          <w:b/>
          <w:bCs/>
        </w:rPr>
        <w:t>2020</w:t>
      </w:r>
      <w:r w:rsidRPr="00EC6D06">
        <w:t xml:space="preserve">, </w:t>
      </w:r>
      <w:r w:rsidRPr="00EC6D06">
        <w:rPr>
          <w:i/>
          <w:iCs/>
        </w:rPr>
        <w:t>38</w:t>
      </w:r>
      <w:r w:rsidRPr="00EC6D06">
        <w:t xml:space="preserve">, 380-399.e13, </w:t>
      </w:r>
      <w:proofErr w:type="gramStart"/>
      <w:r w:rsidRPr="00EC6D06">
        <w:t>doi:10.1016/j.ccell</w:t>
      </w:r>
      <w:proofErr w:type="gramEnd"/>
      <w:r w:rsidRPr="00EC6D06">
        <w:t>.2020.06.002.</w:t>
      </w:r>
    </w:p>
    <w:p w14:paraId="65C881AE" w14:textId="77777777" w:rsidR="00EC6D06" w:rsidRPr="00EC6D06" w:rsidRDefault="00EC6D06" w:rsidP="00EC6D06">
      <w:pPr>
        <w:pStyle w:val="Bibliografia"/>
      </w:pPr>
      <w:r w:rsidRPr="00EC6D06">
        <w:lastRenderedPageBreak/>
        <w:t xml:space="preserve">37. </w:t>
      </w:r>
      <w:r w:rsidRPr="00EC6D06">
        <w:tab/>
      </w:r>
      <w:proofErr w:type="spellStart"/>
      <w:r w:rsidRPr="00EC6D06">
        <w:t>Chapuy</w:t>
      </w:r>
      <w:proofErr w:type="spellEnd"/>
      <w:r w:rsidRPr="00EC6D06">
        <w:t xml:space="preserve">, B.; Stewart, C.; Dunford, A.J.; Kim, J.; </w:t>
      </w:r>
      <w:proofErr w:type="spellStart"/>
      <w:r w:rsidRPr="00EC6D06">
        <w:t>Kamburov</w:t>
      </w:r>
      <w:proofErr w:type="spellEnd"/>
      <w:r w:rsidRPr="00EC6D06">
        <w:t xml:space="preserve">, A.; Redd, R.A.; Lawrence, M.S.; Roemer, M.G.M.; Li, A.J.; Ziepert, M.; et al. Molecular Subtypes of Diffuse Large B Cell Lymphoma Are Associated with Distinct Pathogenic Mechanisms and Outcomes. </w:t>
      </w:r>
      <w:r w:rsidRPr="00EC6D06">
        <w:rPr>
          <w:i/>
          <w:iCs/>
        </w:rPr>
        <w:t>Nat. Med.</w:t>
      </w:r>
      <w:r w:rsidRPr="00EC6D06">
        <w:t xml:space="preserve"> </w:t>
      </w:r>
      <w:r w:rsidRPr="00EC6D06">
        <w:rPr>
          <w:b/>
          <w:bCs/>
        </w:rPr>
        <w:t>2018</w:t>
      </w:r>
      <w:r w:rsidRPr="00EC6D06">
        <w:t xml:space="preserve">, </w:t>
      </w:r>
      <w:r w:rsidRPr="00EC6D06">
        <w:rPr>
          <w:i/>
          <w:iCs/>
        </w:rPr>
        <w:t>24</w:t>
      </w:r>
      <w:r w:rsidRPr="00EC6D06">
        <w:t>, 679–690, doi:10.1038/s41591-018-0016-8.</w:t>
      </w:r>
    </w:p>
    <w:p w14:paraId="5823CACC" w14:textId="77777777" w:rsidR="00EC6D06" w:rsidRPr="00EC6D06" w:rsidRDefault="00EC6D06" w:rsidP="00EC6D06">
      <w:pPr>
        <w:pStyle w:val="Bibliografia"/>
      </w:pPr>
      <w:r w:rsidRPr="00EC6D06">
        <w:t>38</w:t>
      </w:r>
      <w:proofErr w:type="gramStart"/>
      <w:r w:rsidRPr="00EC6D06">
        <w:t xml:space="preserve">. </w:t>
      </w:r>
      <w:r w:rsidRPr="00EC6D06">
        <w:tab/>
        <w:t>Cherkassky</w:t>
      </w:r>
      <w:proofErr w:type="gramEnd"/>
      <w:r w:rsidRPr="00EC6D06">
        <w:t xml:space="preserve">, L.; Morello, A.; Villena-Vargas, J.; Feng, Y.; Dimitrov, D.S.; Jones, D.R.; </w:t>
      </w:r>
      <w:proofErr w:type="spellStart"/>
      <w:r w:rsidRPr="00EC6D06">
        <w:t>Sadelain</w:t>
      </w:r>
      <w:proofErr w:type="spellEnd"/>
      <w:r w:rsidRPr="00EC6D06">
        <w:t xml:space="preserve">, M.; Adusumilli, P.S. Human CAR T Cells with Cell-Intrinsic PD-1 Checkpoint Blockade Resist Tumor-Mediated Inhibition. </w:t>
      </w:r>
      <w:r w:rsidRPr="00EC6D06">
        <w:rPr>
          <w:i/>
          <w:iCs/>
        </w:rPr>
        <w:t>J. Clin. Invest.</w:t>
      </w:r>
      <w:r w:rsidRPr="00EC6D06">
        <w:t xml:space="preserve"> </w:t>
      </w:r>
      <w:r w:rsidRPr="00EC6D06">
        <w:rPr>
          <w:b/>
          <w:bCs/>
        </w:rPr>
        <w:t>2016</w:t>
      </w:r>
      <w:r w:rsidRPr="00EC6D06">
        <w:t xml:space="preserve">, </w:t>
      </w:r>
      <w:r w:rsidRPr="00EC6D06">
        <w:rPr>
          <w:i/>
          <w:iCs/>
        </w:rPr>
        <w:t>126</w:t>
      </w:r>
      <w:r w:rsidRPr="00EC6D06">
        <w:t>, 3130–3144, doi:10.1172/JCI83092.</w:t>
      </w:r>
    </w:p>
    <w:p w14:paraId="7027E519" w14:textId="77777777" w:rsidR="00EC6D06" w:rsidRPr="00EC6D06" w:rsidRDefault="00EC6D06" w:rsidP="00EC6D06">
      <w:pPr>
        <w:pStyle w:val="Bibliografia"/>
      </w:pPr>
      <w:r w:rsidRPr="00EC6D06">
        <w:t>39</w:t>
      </w:r>
      <w:proofErr w:type="gramStart"/>
      <w:r w:rsidRPr="00EC6D06">
        <w:t xml:space="preserve">. </w:t>
      </w:r>
      <w:r w:rsidRPr="00EC6D06">
        <w:tab/>
        <w:t>Larson</w:t>
      </w:r>
      <w:proofErr w:type="gramEnd"/>
      <w:r w:rsidRPr="00EC6D06">
        <w:t xml:space="preserve">, R.C.; Maus, M.V. Recent Advances and Discoveries in the Mechanisms and Functions of CAR T Cells. </w:t>
      </w:r>
      <w:r w:rsidRPr="00EC6D06">
        <w:rPr>
          <w:i/>
          <w:iCs/>
        </w:rPr>
        <w:t>Nat. Rev. Cancer</w:t>
      </w:r>
      <w:r w:rsidRPr="00EC6D06">
        <w:t xml:space="preserve"> </w:t>
      </w:r>
      <w:r w:rsidRPr="00EC6D06">
        <w:rPr>
          <w:b/>
          <w:bCs/>
        </w:rPr>
        <w:t>2021</w:t>
      </w:r>
      <w:r w:rsidRPr="00EC6D06">
        <w:t xml:space="preserve">, </w:t>
      </w:r>
      <w:r w:rsidRPr="00EC6D06">
        <w:rPr>
          <w:i/>
          <w:iCs/>
        </w:rPr>
        <w:t>21</w:t>
      </w:r>
      <w:r w:rsidRPr="00EC6D06">
        <w:t>, 145–161, doi:10.1038/s41568-020-00323-z.</w:t>
      </w:r>
    </w:p>
    <w:p w14:paraId="458CECFD" w14:textId="77777777" w:rsidR="00EC6D06" w:rsidRPr="00EC6D06" w:rsidRDefault="00EC6D06" w:rsidP="00EC6D06">
      <w:pPr>
        <w:pStyle w:val="Bibliografia"/>
      </w:pPr>
      <w:r w:rsidRPr="00EC6D06">
        <w:t>40</w:t>
      </w:r>
      <w:proofErr w:type="gramStart"/>
      <w:r w:rsidRPr="00EC6D06">
        <w:t xml:space="preserve">. </w:t>
      </w:r>
      <w:r w:rsidRPr="00EC6D06">
        <w:tab/>
      </w:r>
      <w:proofErr w:type="spellStart"/>
      <w:r w:rsidRPr="00EC6D06">
        <w:t>Majzner</w:t>
      </w:r>
      <w:proofErr w:type="spellEnd"/>
      <w:proofErr w:type="gramEnd"/>
      <w:r w:rsidRPr="00EC6D06">
        <w:t xml:space="preserve">, R.G.; Mackall, C.L. Clinical Lessons Learned from the First Leg of the CAR T Cell Journey. </w:t>
      </w:r>
      <w:r w:rsidRPr="00EC6D06">
        <w:rPr>
          <w:i/>
          <w:iCs/>
        </w:rPr>
        <w:t>Nat. Med.</w:t>
      </w:r>
      <w:r w:rsidRPr="00EC6D06">
        <w:t xml:space="preserve"> </w:t>
      </w:r>
      <w:r w:rsidRPr="00EC6D06">
        <w:rPr>
          <w:b/>
          <w:bCs/>
        </w:rPr>
        <w:t>2019</w:t>
      </w:r>
      <w:r w:rsidRPr="00EC6D06">
        <w:t xml:space="preserve">, </w:t>
      </w:r>
      <w:r w:rsidRPr="00EC6D06">
        <w:rPr>
          <w:i/>
          <w:iCs/>
        </w:rPr>
        <w:t>25</w:t>
      </w:r>
      <w:r w:rsidRPr="00EC6D06">
        <w:t>, 1341–1355, doi:10.1038/s41591-019-0564-6.</w:t>
      </w:r>
    </w:p>
    <w:p w14:paraId="4A6C77F5" w14:textId="77777777" w:rsidR="00EC6D06" w:rsidRPr="00EC6D06" w:rsidRDefault="00EC6D06" w:rsidP="00EC6D06">
      <w:pPr>
        <w:pStyle w:val="Bibliografia"/>
      </w:pPr>
      <w:r w:rsidRPr="00EC6D06">
        <w:t xml:space="preserve">41. </w:t>
      </w:r>
      <w:r w:rsidRPr="00EC6D06">
        <w:tab/>
        <w:t xml:space="preserve">Ayers, M.; Lunceford, J.; </w:t>
      </w:r>
      <w:proofErr w:type="spellStart"/>
      <w:r w:rsidRPr="00EC6D06">
        <w:t>Nebozhyn</w:t>
      </w:r>
      <w:proofErr w:type="spellEnd"/>
      <w:r w:rsidRPr="00EC6D06">
        <w:t xml:space="preserve">, M.; Murphy, E.; Loboda, A.; Kaufman, D.R.; Albright, A.; Cheng, J.D.; Kang, S.P.; Shankaran, V.; et al. IFN-γ–Related mRNA Profile Predicts Clinical Response to PD-1 Blockade. </w:t>
      </w:r>
      <w:r w:rsidRPr="00EC6D06">
        <w:rPr>
          <w:i/>
          <w:iCs/>
        </w:rPr>
        <w:t>J. Clin. Invest.</w:t>
      </w:r>
      <w:r w:rsidRPr="00EC6D06">
        <w:t xml:space="preserve"> </w:t>
      </w:r>
      <w:r w:rsidRPr="00EC6D06">
        <w:rPr>
          <w:b/>
          <w:bCs/>
        </w:rPr>
        <w:t>2017</w:t>
      </w:r>
      <w:r w:rsidRPr="00EC6D06">
        <w:t xml:space="preserve">, </w:t>
      </w:r>
      <w:r w:rsidRPr="00EC6D06">
        <w:rPr>
          <w:i/>
          <w:iCs/>
        </w:rPr>
        <w:t>127</w:t>
      </w:r>
      <w:r w:rsidRPr="00EC6D06">
        <w:t>, 2930–2940, doi:10.1172/JCI91190.</w:t>
      </w:r>
    </w:p>
    <w:p w14:paraId="3E42C7DF" w14:textId="77777777" w:rsidR="00EC6D06" w:rsidRPr="00EC6D06" w:rsidRDefault="00EC6D06" w:rsidP="00EC6D06">
      <w:pPr>
        <w:pStyle w:val="Bibliografia"/>
      </w:pPr>
      <w:r w:rsidRPr="00EC6D06">
        <w:t>42</w:t>
      </w:r>
      <w:proofErr w:type="gramStart"/>
      <w:r w:rsidRPr="00EC6D06">
        <w:t xml:space="preserve">. </w:t>
      </w:r>
      <w:r w:rsidRPr="00EC6D06">
        <w:tab/>
        <w:t>Karin</w:t>
      </w:r>
      <w:proofErr w:type="gramEnd"/>
      <w:r w:rsidRPr="00EC6D06">
        <w:t xml:space="preserve">, N.; </w:t>
      </w:r>
      <w:proofErr w:type="spellStart"/>
      <w:r w:rsidRPr="00EC6D06">
        <w:t>Wildbaum</w:t>
      </w:r>
      <w:proofErr w:type="spellEnd"/>
      <w:r w:rsidRPr="00EC6D06">
        <w:t xml:space="preserve">, G. The Role of Chemokines in Shaping the Balance Between CD4+ T Cell Subsets and Its Therapeutic Implications in Autoimmune and Cancer Diseases. </w:t>
      </w:r>
      <w:r w:rsidRPr="00EC6D06">
        <w:rPr>
          <w:i/>
          <w:iCs/>
        </w:rPr>
        <w:t>Front. Immunol.</w:t>
      </w:r>
      <w:r w:rsidRPr="00EC6D06">
        <w:t xml:space="preserve"> </w:t>
      </w:r>
      <w:r w:rsidRPr="00EC6D06">
        <w:rPr>
          <w:b/>
          <w:bCs/>
        </w:rPr>
        <w:t>2015</w:t>
      </w:r>
      <w:r w:rsidRPr="00EC6D06">
        <w:t xml:space="preserve">, </w:t>
      </w:r>
      <w:r w:rsidRPr="00EC6D06">
        <w:rPr>
          <w:i/>
          <w:iCs/>
        </w:rPr>
        <w:t>6</w:t>
      </w:r>
      <w:r w:rsidRPr="00EC6D06">
        <w:t>, doi:10.3389/fimmu.2015.00609.</w:t>
      </w:r>
    </w:p>
    <w:p w14:paraId="22FA95FF" w14:textId="77777777" w:rsidR="00EC6D06" w:rsidRPr="00EC6D06" w:rsidRDefault="00EC6D06" w:rsidP="00EC6D06">
      <w:pPr>
        <w:pStyle w:val="Bibliografia"/>
      </w:pPr>
      <w:r w:rsidRPr="00EC6D06">
        <w:t xml:space="preserve">43. </w:t>
      </w:r>
      <w:r w:rsidRPr="00EC6D06">
        <w:tab/>
        <w:t xml:space="preserve">Yang, J.; Antin, P.; </w:t>
      </w:r>
      <w:proofErr w:type="spellStart"/>
      <w:r w:rsidRPr="00EC6D06">
        <w:t>Berx</w:t>
      </w:r>
      <w:proofErr w:type="spellEnd"/>
      <w:r w:rsidRPr="00EC6D06">
        <w:t xml:space="preserve">, G.; </w:t>
      </w:r>
      <w:proofErr w:type="spellStart"/>
      <w:r w:rsidRPr="00EC6D06">
        <w:t>Blanpain</w:t>
      </w:r>
      <w:proofErr w:type="spellEnd"/>
      <w:r w:rsidRPr="00EC6D06">
        <w:t xml:space="preserve">, C.; </w:t>
      </w:r>
      <w:proofErr w:type="spellStart"/>
      <w:r w:rsidRPr="00EC6D06">
        <w:t>Brabletz</w:t>
      </w:r>
      <w:proofErr w:type="spellEnd"/>
      <w:r w:rsidRPr="00EC6D06">
        <w:t xml:space="preserve">, T.; Bronner, M.; Campbell, K.; </w:t>
      </w:r>
      <w:proofErr w:type="spellStart"/>
      <w:r w:rsidRPr="00EC6D06">
        <w:t>Cano</w:t>
      </w:r>
      <w:proofErr w:type="spellEnd"/>
      <w:r w:rsidRPr="00EC6D06">
        <w:t xml:space="preserve">, A.; Casanova, J.; </w:t>
      </w:r>
      <w:proofErr w:type="spellStart"/>
      <w:r w:rsidRPr="00EC6D06">
        <w:t>Christofori</w:t>
      </w:r>
      <w:proofErr w:type="spellEnd"/>
      <w:r w:rsidRPr="00EC6D06">
        <w:t xml:space="preserve">, G.; et al. Guidelines and Definitions for Research on Epithelial–Mesenchymal Transition. </w:t>
      </w:r>
      <w:r w:rsidRPr="00EC6D06">
        <w:rPr>
          <w:i/>
          <w:iCs/>
        </w:rPr>
        <w:t>Nat. Rev. Mol. Cell Biol.</w:t>
      </w:r>
      <w:r w:rsidRPr="00EC6D06">
        <w:t xml:space="preserve"> </w:t>
      </w:r>
      <w:r w:rsidRPr="00EC6D06">
        <w:rPr>
          <w:b/>
          <w:bCs/>
        </w:rPr>
        <w:t>2020</w:t>
      </w:r>
      <w:r w:rsidRPr="00EC6D06">
        <w:t xml:space="preserve">, </w:t>
      </w:r>
      <w:r w:rsidRPr="00EC6D06">
        <w:rPr>
          <w:i/>
          <w:iCs/>
        </w:rPr>
        <w:t>21</w:t>
      </w:r>
      <w:r w:rsidRPr="00EC6D06">
        <w:t>, 341–352, doi:10.1038/s41580-020-0237-9.</w:t>
      </w:r>
    </w:p>
    <w:p w14:paraId="02592544" w14:textId="77777777" w:rsidR="00EC6D06" w:rsidRPr="00EC6D06" w:rsidRDefault="00EC6D06" w:rsidP="00EC6D06">
      <w:pPr>
        <w:pStyle w:val="Bibliografia"/>
      </w:pPr>
      <w:r w:rsidRPr="00EC6D06">
        <w:t xml:space="preserve">44. </w:t>
      </w:r>
      <w:r w:rsidRPr="00EC6D06">
        <w:tab/>
        <w:t xml:space="preserve">Grossmann, L.; Jagla, W.; </w:t>
      </w:r>
      <w:proofErr w:type="spellStart"/>
      <w:r w:rsidRPr="00EC6D06">
        <w:t>Bettstetter</w:t>
      </w:r>
      <w:proofErr w:type="spellEnd"/>
      <w:r w:rsidRPr="00EC6D06">
        <w:t xml:space="preserve">, M.; Bertz, S.; Schwarz-Furlan, S.; Richter, T.; Dechow, T.; Decker, T.; Dreyling, M.; Sotlar, K.; et al. Gene Expression Profiling Provides an Improved Characterization of CD79B-Mutated Diffuse Large B-Cell Lymphomas. </w:t>
      </w:r>
      <w:r w:rsidRPr="00EC6D06">
        <w:rPr>
          <w:i/>
          <w:iCs/>
        </w:rPr>
        <w:t>J. Pers. Med.</w:t>
      </w:r>
      <w:r w:rsidRPr="00EC6D06">
        <w:t xml:space="preserve"> </w:t>
      </w:r>
      <w:r w:rsidRPr="00EC6D06">
        <w:rPr>
          <w:b/>
          <w:bCs/>
        </w:rPr>
        <w:t>2025</w:t>
      </w:r>
      <w:r w:rsidRPr="00EC6D06">
        <w:t xml:space="preserve">, </w:t>
      </w:r>
      <w:r w:rsidRPr="00EC6D06">
        <w:rPr>
          <w:i/>
          <w:iCs/>
        </w:rPr>
        <w:t>15</w:t>
      </w:r>
      <w:r w:rsidRPr="00EC6D06">
        <w:t>, 548, doi:10.3390/jpm15110548.</w:t>
      </w:r>
    </w:p>
    <w:p w14:paraId="30F75C13" w14:textId="77777777" w:rsidR="00EC6D06" w:rsidRPr="00EC6D06" w:rsidRDefault="00EC6D06" w:rsidP="00EC6D06">
      <w:pPr>
        <w:pStyle w:val="Bibliografia"/>
      </w:pPr>
      <w:r w:rsidRPr="00EC6D06">
        <w:t>45</w:t>
      </w:r>
      <w:proofErr w:type="gramStart"/>
      <w:r w:rsidRPr="00EC6D06">
        <w:t xml:space="preserve">. </w:t>
      </w:r>
      <w:r w:rsidRPr="00EC6D06">
        <w:tab/>
        <w:t>Tamura</w:t>
      </w:r>
      <w:proofErr w:type="gramEnd"/>
      <w:r w:rsidRPr="00EC6D06">
        <w:t xml:space="preserve">, T.; Yanai, H.; Savitsky, D.; Taniguchi, T. The IRF Family Transcription Factors in Immunity and Oncogenesis. </w:t>
      </w:r>
      <w:r w:rsidRPr="00EC6D06">
        <w:rPr>
          <w:i/>
          <w:iCs/>
        </w:rPr>
        <w:t>Annu. Rev. Immunol.</w:t>
      </w:r>
      <w:r w:rsidRPr="00EC6D06">
        <w:t xml:space="preserve"> </w:t>
      </w:r>
      <w:r w:rsidRPr="00EC6D06">
        <w:rPr>
          <w:b/>
          <w:bCs/>
        </w:rPr>
        <w:t>2008</w:t>
      </w:r>
      <w:r w:rsidRPr="00EC6D06">
        <w:t xml:space="preserve">, </w:t>
      </w:r>
      <w:r w:rsidRPr="00EC6D06">
        <w:rPr>
          <w:i/>
          <w:iCs/>
        </w:rPr>
        <w:t>26</w:t>
      </w:r>
      <w:r w:rsidRPr="00EC6D06">
        <w:t xml:space="preserve">, 535–584, </w:t>
      </w:r>
      <w:proofErr w:type="gramStart"/>
      <w:r w:rsidRPr="00EC6D06">
        <w:t>doi:10.1146/annurev.immunol</w:t>
      </w:r>
      <w:proofErr w:type="gramEnd"/>
      <w:r w:rsidRPr="00EC6D06">
        <w:t>.26.021607.090400.</w:t>
      </w:r>
    </w:p>
    <w:p w14:paraId="1C940B7D" w14:textId="77777777" w:rsidR="00EC6D06" w:rsidRPr="00EC6D06" w:rsidRDefault="00EC6D06" w:rsidP="00EC6D06">
      <w:pPr>
        <w:pStyle w:val="Bibliografia"/>
      </w:pPr>
      <w:r w:rsidRPr="00EC6D06">
        <w:t xml:space="preserve">46. </w:t>
      </w:r>
      <w:r w:rsidRPr="00EC6D06">
        <w:tab/>
      </w:r>
      <w:proofErr w:type="spellStart"/>
      <w:r w:rsidRPr="00EC6D06">
        <w:t>Ritthipichai</w:t>
      </w:r>
      <w:proofErr w:type="spellEnd"/>
      <w:r w:rsidRPr="00EC6D06">
        <w:t xml:space="preserve">, K.; Haymaker, C.L.; Martinez, M.; Aschenbrenner, A.; Yi, X.; Zhang, M.; Kale, C.; Vence, L.M.; Roszik, J.; Hailemichael, Y.; et al. Multifaceted Role of BTLA in the Control of CD8+ T-Cell Fate after Antigen Encounter. </w:t>
      </w:r>
      <w:r w:rsidRPr="00EC6D06">
        <w:rPr>
          <w:i/>
          <w:iCs/>
        </w:rPr>
        <w:t>Clin. Cancer Res.</w:t>
      </w:r>
      <w:r w:rsidRPr="00EC6D06">
        <w:t xml:space="preserve"> </w:t>
      </w:r>
      <w:r w:rsidRPr="00EC6D06">
        <w:rPr>
          <w:b/>
          <w:bCs/>
        </w:rPr>
        <w:t>2017</w:t>
      </w:r>
      <w:r w:rsidRPr="00EC6D06">
        <w:t xml:space="preserve">, </w:t>
      </w:r>
      <w:r w:rsidRPr="00EC6D06">
        <w:rPr>
          <w:i/>
          <w:iCs/>
        </w:rPr>
        <w:t>23</w:t>
      </w:r>
      <w:r w:rsidRPr="00EC6D06">
        <w:t xml:space="preserve">, 6151–6164, </w:t>
      </w:r>
      <w:proofErr w:type="gramStart"/>
      <w:r w:rsidRPr="00EC6D06">
        <w:t>doi:10.1158/1078-0432.CCR</w:t>
      </w:r>
      <w:proofErr w:type="gramEnd"/>
      <w:r w:rsidRPr="00EC6D06">
        <w:t>-16-1217.</w:t>
      </w:r>
    </w:p>
    <w:p w14:paraId="768988EF" w14:textId="77777777" w:rsidR="00EC6D06" w:rsidRPr="00EC6D06" w:rsidRDefault="00EC6D06" w:rsidP="00EC6D06">
      <w:pPr>
        <w:pStyle w:val="Bibliografia"/>
      </w:pPr>
      <w:r w:rsidRPr="00EC6D06">
        <w:t xml:space="preserve">47. </w:t>
      </w:r>
      <w:r w:rsidRPr="00EC6D06">
        <w:tab/>
        <w:t xml:space="preserve">Haymaker, C.L.; Wu, R.C.; </w:t>
      </w:r>
      <w:proofErr w:type="spellStart"/>
      <w:r w:rsidRPr="00EC6D06">
        <w:t>Ritthipichai</w:t>
      </w:r>
      <w:proofErr w:type="spellEnd"/>
      <w:r w:rsidRPr="00EC6D06">
        <w:t xml:space="preserve">, K.; Bernatchez, C.; Forget, M.-A.; Chen, J.Q.; Liu, H.; Wang, E.; </w:t>
      </w:r>
      <w:proofErr w:type="spellStart"/>
      <w:r w:rsidRPr="00EC6D06">
        <w:t>Marincola</w:t>
      </w:r>
      <w:proofErr w:type="spellEnd"/>
      <w:r w:rsidRPr="00EC6D06">
        <w:t xml:space="preserve">, F.; Hwu, P.; et al. BTLA Marks a Less-Differentiated Tumor-Infiltrating Lymphocyte Subset in Melanoma with Enhanced Survival Properties. </w:t>
      </w:r>
      <w:proofErr w:type="spellStart"/>
      <w:r w:rsidRPr="00EC6D06">
        <w:rPr>
          <w:i/>
          <w:iCs/>
        </w:rPr>
        <w:t>OncoImmunology</w:t>
      </w:r>
      <w:proofErr w:type="spellEnd"/>
      <w:r w:rsidRPr="00EC6D06">
        <w:t xml:space="preserve"> </w:t>
      </w:r>
      <w:r w:rsidRPr="00EC6D06">
        <w:rPr>
          <w:b/>
          <w:bCs/>
        </w:rPr>
        <w:t>2015</w:t>
      </w:r>
      <w:r w:rsidRPr="00EC6D06">
        <w:t xml:space="preserve">, </w:t>
      </w:r>
      <w:r w:rsidRPr="00EC6D06">
        <w:rPr>
          <w:i/>
          <w:iCs/>
        </w:rPr>
        <w:t>4</w:t>
      </w:r>
      <w:r w:rsidRPr="00EC6D06">
        <w:t>, e1014246, doi:10.1080/2162402X.2015.1014246.</w:t>
      </w:r>
    </w:p>
    <w:p w14:paraId="68D99C91" w14:textId="616EB21A" w:rsidR="00EB4C94" w:rsidRDefault="00D53A3B" w:rsidP="00D53A3B">
      <w:pPr>
        <w:pStyle w:val="MDPI81references"/>
        <w:numPr>
          <w:ilvl w:val="0"/>
          <w:numId w:val="0"/>
        </w:numPr>
        <w:ind w:left="425" w:hanging="425"/>
      </w:pPr>
      <w:r>
        <w:fldChar w:fldCharType="end"/>
      </w:r>
    </w:p>
    <w:p w14:paraId="00D8FB15" w14:textId="77777777" w:rsidR="00F443F6" w:rsidRPr="00934535" w:rsidRDefault="00934535" w:rsidP="000852E9">
      <w:pPr>
        <w:pStyle w:val="MDPI63notes"/>
      </w:pPr>
      <w:r w:rsidRPr="006F77DA">
        <w:rPr>
          <w:b/>
        </w:rPr>
        <w:t>Disclaimer/Publisher’s Note:</w:t>
      </w:r>
      <w:r w:rsidRPr="006F77DA">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F443F6" w:rsidRPr="00934535" w:rsidSect="000852E9">
      <w:headerReference w:type="even" r:id="rId16"/>
      <w:headerReference w:type="default" r:id="rId17"/>
      <w:footerReference w:type="default" r:id="rId18"/>
      <w:headerReference w:type="first" r:id="rId19"/>
      <w:footerReference w:type="first" r:id="rId20"/>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3B289" w14:textId="77777777" w:rsidR="00D93B48" w:rsidRPr="006F77DA" w:rsidRDefault="00D93B48">
      <w:pPr>
        <w:spacing w:line="240" w:lineRule="auto"/>
      </w:pPr>
      <w:r w:rsidRPr="006F77DA">
        <w:separator/>
      </w:r>
    </w:p>
  </w:endnote>
  <w:endnote w:type="continuationSeparator" w:id="0">
    <w:p w14:paraId="574ADA53" w14:textId="77777777" w:rsidR="00D93B48" w:rsidRPr="006F77DA" w:rsidRDefault="00D93B48">
      <w:pPr>
        <w:spacing w:line="240" w:lineRule="auto"/>
      </w:pPr>
      <w:r w:rsidRPr="006F77D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6F180" w14:textId="77777777" w:rsidR="00C34763" w:rsidRPr="00CF62FC" w:rsidRDefault="00CF62FC" w:rsidP="00CF62FC">
    <w:pPr>
      <w:pStyle w:val="Rodap"/>
      <w:spacing w:line="240" w:lineRule="auto"/>
      <w:jc w:val="right"/>
    </w:pPr>
    <w:r w:rsidRPr="006841FE">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E24B2" w14:textId="77777777" w:rsidR="0048519B" w:rsidRPr="006F77DA" w:rsidRDefault="0048519B" w:rsidP="00DD71D3">
    <w:pPr>
      <w:pBdr>
        <w:top w:val="single" w:sz="4" w:space="0" w:color="000000"/>
      </w:pBdr>
      <w:tabs>
        <w:tab w:val="right" w:pos="8844"/>
      </w:tabs>
      <w:adjustRightInd w:val="0"/>
      <w:snapToGrid w:val="0"/>
      <w:spacing w:before="480" w:line="100" w:lineRule="exact"/>
      <w:jc w:val="left"/>
      <w:rPr>
        <w:i/>
        <w:sz w:val="16"/>
        <w:szCs w:val="16"/>
      </w:rPr>
    </w:pPr>
  </w:p>
  <w:p w14:paraId="4202A12C" w14:textId="77777777" w:rsidR="00C34763" w:rsidRPr="006F77DA" w:rsidRDefault="00C34763" w:rsidP="00F55FCD">
    <w:pPr>
      <w:tabs>
        <w:tab w:val="right" w:pos="10466"/>
      </w:tabs>
      <w:adjustRightInd w:val="0"/>
      <w:snapToGrid w:val="0"/>
      <w:spacing w:line="240" w:lineRule="auto"/>
      <w:rPr>
        <w:sz w:val="16"/>
        <w:szCs w:val="16"/>
      </w:rPr>
    </w:pPr>
    <w:r w:rsidRPr="006F77DA">
      <w:rPr>
        <w:i/>
        <w:sz w:val="16"/>
        <w:szCs w:val="16"/>
      </w:rPr>
      <w:t xml:space="preserve">Med. Sci. </w:t>
    </w:r>
    <w:r w:rsidR="00CF62FC">
      <w:rPr>
        <w:b/>
        <w:bCs/>
        <w:iCs/>
        <w:sz w:val="16"/>
        <w:szCs w:val="16"/>
      </w:rPr>
      <w:t>2026</w:t>
    </w:r>
    <w:r w:rsidR="00600445" w:rsidRPr="006F77DA">
      <w:rPr>
        <w:bCs/>
        <w:iCs/>
        <w:sz w:val="16"/>
        <w:szCs w:val="16"/>
      </w:rPr>
      <w:t>,</w:t>
    </w:r>
    <w:r w:rsidR="000852E9" w:rsidRPr="006F77DA">
      <w:rPr>
        <w:bCs/>
        <w:i/>
        <w:iCs/>
        <w:sz w:val="16"/>
        <w:szCs w:val="16"/>
      </w:rPr>
      <w:t xml:space="preserve"> </w:t>
    </w:r>
    <w:r w:rsidR="00CF62FC">
      <w:rPr>
        <w:bCs/>
        <w:i/>
        <w:iCs/>
        <w:sz w:val="16"/>
        <w:szCs w:val="16"/>
      </w:rPr>
      <w:t>14</w:t>
    </w:r>
    <w:r w:rsidR="00600445" w:rsidRPr="006F77DA">
      <w:rPr>
        <w:bCs/>
        <w:iCs/>
        <w:sz w:val="16"/>
        <w:szCs w:val="16"/>
      </w:rPr>
      <w:t xml:space="preserve">, </w:t>
    </w:r>
    <w:r w:rsidR="007C3536" w:rsidRPr="006F77DA">
      <w:rPr>
        <w:bCs/>
        <w:iCs/>
        <w:sz w:val="16"/>
        <w:szCs w:val="16"/>
      </w:rPr>
      <w:t>x</w:t>
    </w:r>
    <w:r w:rsidR="00F55FCD" w:rsidRPr="006F77DA">
      <w:rPr>
        <w:sz w:val="16"/>
        <w:szCs w:val="16"/>
      </w:rPr>
      <w:tab/>
    </w:r>
    <w:r w:rsidR="00CF62FC" w:rsidRPr="006841FE">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52DA0" w14:textId="77777777" w:rsidR="00D93B48" w:rsidRPr="006F77DA" w:rsidRDefault="00D93B48">
      <w:pPr>
        <w:spacing w:line="240" w:lineRule="auto"/>
      </w:pPr>
      <w:r w:rsidRPr="006F77DA">
        <w:separator/>
      </w:r>
    </w:p>
  </w:footnote>
  <w:footnote w:type="continuationSeparator" w:id="0">
    <w:p w14:paraId="60F99BAD" w14:textId="77777777" w:rsidR="00D93B48" w:rsidRPr="006F77DA" w:rsidRDefault="00D93B48">
      <w:pPr>
        <w:spacing w:line="240" w:lineRule="auto"/>
      </w:pPr>
      <w:r w:rsidRPr="006F77D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AC4EB" w14:textId="77777777" w:rsidR="00C34763" w:rsidRPr="006F77DA" w:rsidRDefault="00C34763" w:rsidP="00C34763">
    <w:pPr>
      <w:pStyle w:val="Cabealho"/>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CFA2D" w14:textId="77777777" w:rsidR="0048519B" w:rsidRPr="006F77DA" w:rsidRDefault="00C34763" w:rsidP="00F55FCD">
    <w:pPr>
      <w:tabs>
        <w:tab w:val="right" w:pos="10466"/>
      </w:tabs>
      <w:adjustRightInd w:val="0"/>
      <w:snapToGrid w:val="0"/>
      <w:spacing w:line="240" w:lineRule="auto"/>
      <w:rPr>
        <w:sz w:val="16"/>
      </w:rPr>
    </w:pPr>
    <w:r w:rsidRPr="006F77DA">
      <w:rPr>
        <w:i/>
        <w:sz w:val="16"/>
      </w:rPr>
      <w:t xml:space="preserve">Med. Sci. </w:t>
    </w:r>
    <w:r w:rsidR="00CF62FC">
      <w:rPr>
        <w:b/>
        <w:sz w:val="16"/>
      </w:rPr>
      <w:t>2026</w:t>
    </w:r>
    <w:r w:rsidR="00600445" w:rsidRPr="006F77DA">
      <w:rPr>
        <w:sz w:val="16"/>
      </w:rPr>
      <w:t>,</w:t>
    </w:r>
    <w:r w:rsidR="000852E9" w:rsidRPr="006F77DA">
      <w:rPr>
        <w:i/>
        <w:sz w:val="16"/>
      </w:rPr>
      <w:t xml:space="preserve"> </w:t>
    </w:r>
    <w:r w:rsidR="00CF62FC">
      <w:rPr>
        <w:i/>
        <w:sz w:val="16"/>
      </w:rPr>
      <w:t>14</w:t>
    </w:r>
    <w:r w:rsidR="007C3536" w:rsidRPr="006F77DA">
      <w:rPr>
        <w:sz w:val="16"/>
      </w:rPr>
      <w:t xml:space="preserve">, x </w:t>
    </w:r>
    <w:r w:rsidR="000852E9" w:rsidRPr="006F77DA">
      <w:rPr>
        <w:sz w:val="16"/>
      </w:rPr>
      <w:t>FOR PEER REVIEW</w:t>
    </w:r>
    <w:r w:rsidR="000852E9" w:rsidRPr="006F77DA">
      <w:rPr>
        <w:sz w:val="16"/>
      </w:rPr>
      <w:ptab w:relativeTo="margin" w:alignment="right" w:leader="none"/>
    </w:r>
    <w:r w:rsidR="000852E9" w:rsidRPr="006F77DA">
      <w:rPr>
        <w:sz w:val="16"/>
      </w:rPr>
      <w:fldChar w:fldCharType="begin"/>
    </w:r>
    <w:r w:rsidR="000852E9" w:rsidRPr="006F77DA">
      <w:rPr>
        <w:sz w:val="16"/>
      </w:rPr>
      <w:instrText xml:space="preserve"> PAGE   \* MERGEFORMAT </w:instrText>
    </w:r>
    <w:r w:rsidR="000852E9" w:rsidRPr="006F77DA">
      <w:rPr>
        <w:sz w:val="16"/>
      </w:rPr>
      <w:fldChar w:fldCharType="separate"/>
    </w:r>
    <w:r w:rsidR="000852E9" w:rsidRPr="006F77DA">
      <w:rPr>
        <w:sz w:val="16"/>
      </w:rPr>
      <w:t>2</w:t>
    </w:r>
    <w:r w:rsidR="000852E9" w:rsidRPr="006F77DA">
      <w:rPr>
        <w:sz w:val="16"/>
      </w:rPr>
      <w:fldChar w:fldCharType="end"/>
    </w:r>
    <w:r w:rsidR="000852E9" w:rsidRPr="006F77DA">
      <w:rPr>
        <w:sz w:val="16"/>
      </w:rPr>
      <w:t xml:space="preserve"> of </w:t>
    </w:r>
    <w:r w:rsidR="000852E9" w:rsidRPr="006F77DA">
      <w:rPr>
        <w:sz w:val="16"/>
      </w:rPr>
      <w:fldChar w:fldCharType="begin"/>
    </w:r>
    <w:r w:rsidR="000852E9" w:rsidRPr="006F77DA">
      <w:rPr>
        <w:sz w:val="16"/>
      </w:rPr>
      <w:instrText xml:space="preserve"> NUMPAGES   \* MERGEFORMAT </w:instrText>
    </w:r>
    <w:r w:rsidR="000852E9" w:rsidRPr="006F77DA">
      <w:rPr>
        <w:sz w:val="16"/>
      </w:rPr>
      <w:fldChar w:fldCharType="separate"/>
    </w:r>
    <w:r w:rsidR="000852E9" w:rsidRPr="006F77DA">
      <w:rPr>
        <w:sz w:val="16"/>
      </w:rPr>
      <w:t>7</w:t>
    </w:r>
    <w:r w:rsidR="000852E9" w:rsidRPr="006F77DA">
      <w:rPr>
        <w:sz w:val="16"/>
      </w:rPr>
      <w:fldChar w:fldCharType="end"/>
    </w:r>
  </w:p>
  <w:p w14:paraId="51C66C49" w14:textId="77777777" w:rsidR="00C34763" w:rsidRPr="006F77DA" w:rsidRDefault="00C34763" w:rsidP="00DD71D3">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48519B" w:rsidRPr="006F77DA" w14:paraId="47B29D31" w14:textId="77777777" w:rsidTr="000B2F38">
      <w:trPr>
        <w:trHeight w:val="686"/>
      </w:trPr>
      <w:tc>
        <w:tcPr>
          <w:tcW w:w="3679" w:type="dxa"/>
          <w:vAlign w:val="center"/>
        </w:tcPr>
        <w:p w14:paraId="4FA1DE37" w14:textId="77777777" w:rsidR="0048519B" w:rsidRPr="006F77DA" w:rsidRDefault="001B430C" w:rsidP="00F55FCD">
          <w:pPr>
            <w:pStyle w:val="Cabealho"/>
            <w:pBdr>
              <w:bottom w:val="none" w:sz="0" w:space="0" w:color="auto"/>
            </w:pBdr>
            <w:jc w:val="left"/>
            <w:rPr>
              <w:rFonts w:eastAsia="DengXian"/>
              <w:b/>
              <w:bCs/>
            </w:rPr>
          </w:pPr>
          <w:r w:rsidRPr="006F77DA">
            <w:rPr>
              <w:rFonts w:eastAsia="DengXian"/>
              <w:b/>
              <w:bCs/>
              <w:noProof/>
            </w:rPr>
            <w:drawing>
              <wp:inline distT="0" distB="0" distL="0" distR="0" wp14:anchorId="7CEF62D8" wp14:editId="3658B536">
                <wp:extent cx="1749296" cy="432000"/>
                <wp:effectExtent l="0" t="0" r="3810" b="6350"/>
                <wp:docPr id="8127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1618" name=""/>
                        <pic:cNvPicPr/>
                      </pic:nvPicPr>
                      <pic:blipFill>
                        <a:blip r:embed="rId1"/>
                        <a:stretch>
                          <a:fillRect/>
                        </a:stretch>
                      </pic:blipFill>
                      <pic:spPr>
                        <a:xfrm>
                          <a:off x="0" y="0"/>
                          <a:ext cx="1749296" cy="432000"/>
                        </a:xfrm>
                        <a:prstGeom prst="rect">
                          <a:avLst/>
                        </a:prstGeom>
                      </pic:spPr>
                    </pic:pic>
                  </a:graphicData>
                </a:graphic>
              </wp:inline>
            </w:drawing>
          </w:r>
        </w:p>
      </w:tc>
      <w:tc>
        <w:tcPr>
          <w:tcW w:w="4535" w:type="dxa"/>
          <w:vAlign w:val="center"/>
        </w:tcPr>
        <w:p w14:paraId="0FD6D4D3" w14:textId="77777777" w:rsidR="0048519B" w:rsidRPr="006F77DA" w:rsidRDefault="0048519B" w:rsidP="00F55FCD">
          <w:pPr>
            <w:pStyle w:val="Cabealho"/>
            <w:pBdr>
              <w:bottom w:val="none" w:sz="0" w:space="0" w:color="auto"/>
            </w:pBdr>
            <w:rPr>
              <w:rFonts w:eastAsia="DengXian"/>
              <w:b/>
              <w:bCs/>
            </w:rPr>
          </w:pPr>
        </w:p>
      </w:tc>
      <w:tc>
        <w:tcPr>
          <w:tcW w:w="2273" w:type="dxa"/>
          <w:vAlign w:val="center"/>
        </w:tcPr>
        <w:p w14:paraId="3FAF6B42" w14:textId="77777777" w:rsidR="0048519B" w:rsidRPr="006F77DA" w:rsidRDefault="000B2F38" w:rsidP="000B2F38">
          <w:pPr>
            <w:pStyle w:val="Cabealho"/>
            <w:pBdr>
              <w:bottom w:val="none" w:sz="0" w:space="0" w:color="auto"/>
            </w:pBdr>
            <w:jc w:val="right"/>
            <w:rPr>
              <w:rFonts w:eastAsia="DengXian"/>
              <w:b/>
              <w:bCs/>
            </w:rPr>
          </w:pPr>
          <w:r w:rsidRPr="006F77DA">
            <w:rPr>
              <w:rFonts w:eastAsia="DengXian"/>
              <w:b/>
              <w:bCs/>
              <w:noProof/>
            </w:rPr>
            <w:drawing>
              <wp:inline distT="0" distB="0" distL="0" distR="0" wp14:anchorId="34C5F9E5" wp14:editId="5F923DA2">
                <wp:extent cx="540000" cy="360000"/>
                <wp:effectExtent l="0" t="0" r="0" b="2540"/>
                <wp:docPr id="837689014" name="Picture 1"/>
                <wp:cNvGraphicFramePr/>
                <a:graphic xmlns:a="http://schemas.openxmlformats.org/drawingml/2006/main">
                  <a:graphicData uri="http://schemas.openxmlformats.org/drawingml/2006/picture">
                    <pic:pic xmlns:pic="http://schemas.openxmlformats.org/drawingml/2006/picture">
                      <pic:nvPicPr>
                        <pic:cNvPr id="837689014" name=""/>
                        <pic:cNvPicPr/>
                      </pic:nvPicPr>
                      <pic:blipFill>
                        <a:blip r:embed="rId2"/>
                        <a:stretch>
                          <a:fillRect/>
                        </a:stretch>
                      </pic:blipFill>
                      <pic:spPr>
                        <a:xfrm>
                          <a:off x="0" y="0"/>
                          <a:ext cx="540000" cy="360000"/>
                        </a:xfrm>
                        <a:prstGeom prst="rect">
                          <a:avLst/>
                        </a:prstGeom>
                      </pic:spPr>
                    </pic:pic>
                  </a:graphicData>
                </a:graphic>
              </wp:inline>
            </w:drawing>
          </w:r>
        </w:p>
      </w:tc>
    </w:tr>
  </w:tbl>
  <w:p w14:paraId="2A452EF4" w14:textId="77777777" w:rsidR="00C34763" w:rsidRPr="006F77DA" w:rsidRDefault="00C34763" w:rsidP="000852E9">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C106B"/>
    <w:multiLevelType w:val="hybridMultilevel"/>
    <w:tmpl w:val="AC085012"/>
    <w:lvl w:ilvl="0" w:tplc="B97A1854">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 w15:restartNumberingAfterBreak="0">
    <w:nsid w:val="18B468F5"/>
    <w:multiLevelType w:val="hybridMultilevel"/>
    <w:tmpl w:val="CDDA9F8E"/>
    <w:lvl w:ilvl="0" w:tplc="5CFC9AA2">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969A1542"/>
    <w:lvl w:ilvl="0" w:tplc="54269182">
      <w:start w:val="1"/>
      <w:numFmt w:val="decimal"/>
      <w:lvlRestart w:val="0"/>
      <w:pStyle w:val="MDPI71footnotes"/>
      <w:lvlText w:val="%1."/>
      <w:lvlJc w:val="left"/>
      <w:pPr>
        <w:ind w:left="425" w:hanging="425"/>
      </w:pPr>
      <w:rPr>
        <w:rFonts w:hint="default"/>
        <w:vertAlign w:val="superscrip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9" w15:restartNumberingAfterBreak="0">
    <w:nsid w:val="56CF7C60"/>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D600AC"/>
    <w:multiLevelType w:val="hybridMultilevel"/>
    <w:tmpl w:val="5214323C"/>
    <w:lvl w:ilvl="0" w:tplc="E99A5C1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8330812">
    <w:abstractNumId w:val="4"/>
  </w:num>
  <w:num w:numId="2" w16cid:durableId="205652461">
    <w:abstractNumId w:val="6"/>
  </w:num>
  <w:num w:numId="3" w16cid:durableId="254943524">
    <w:abstractNumId w:val="3"/>
  </w:num>
  <w:num w:numId="4" w16cid:durableId="1431317850">
    <w:abstractNumId w:val="5"/>
  </w:num>
  <w:num w:numId="5" w16cid:durableId="812140073">
    <w:abstractNumId w:val="8"/>
  </w:num>
  <w:num w:numId="6" w16cid:durableId="679628217">
    <w:abstractNumId w:val="2"/>
  </w:num>
  <w:num w:numId="7" w16cid:durableId="517231769">
    <w:abstractNumId w:val="8"/>
  </w:num>
  <w:num w:numId="8" w16cid:durableId="1850826129">
    <w:abstractNumId w:val="2"/>
  </w:num>
  <w:num w:numId="9" w16cid:durableId="2138989675">
    <w:abstractNumId w:val="8"/>
  </w:num>
  <w:num w:numId="10" w16cid:durableId="634258544">
    <w:abstractNumId w:val="2"/>
  </w:num>
  <w:num w:numId="11" w16cid:durableId="508847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70573569">
    <w:abstractNumId w:val="9"/>
  </w:num>
  <w:num w:numId="13" w16cid:durableId="351539084">
    <w:abstractNumId w:val="11"/>
  </w:num>
  <w:num w:numId="14" w16cid:durableId="348023273">
    <w:abstractNumId w:val="8"/>
  </w:num>
  <w:num w:numId="15" w16cid:durableId="1884825982">
    <w:abstractNumId w:val="2"/>
  </w:num>
  <w:num w:numId="16" w16cid:durableId="1190529356">
    <w:abstractNumId w:val="1"/>
  </w:num>
  <w:num w:numId="17" w16cid:durableId="1236209229">
    <w:abstractNumId w:val="7"/>
  </w:num>
  <w:num w:numId="18" w16cid:durableId="1502235003">
    <w:abstractNumId w:val="0"/>
  </w:num>
  <w:num w:numId="19" w16cid:durableId="1491211161">
    <w:abstractNumId w:val="8"/>
  </w:num>
  <w:num w:numId="20" w16cid:durableId="792020999">
    <w:abstractNumId w:val="2"/>
  </w:num>
  <w:num w:numId="21" w16cid:durableId="1372027954">
    <w:abstractNumId w:val="1"/>
  </w:num>
  <w:num w:numId="22" w16cid:durableId="745153289">
    <w:abstractNumId w:val="0"/>
  </w:num>
  <w:num w:numId="23" w16cid:durableId="13746186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45E"/>
    <w:rsid w:val="000006B8"/>
    <w:rsid w:val="00003407"/>
    <w:rsid w:val="00003841"/>
    <w:rsid w:val="000161CF"/>
    <w:rsid w:val="00017DBE"/>
    <w:rsid w:val="00023B33"/>
    <w:rsid w:val="000243A2"/>
    <w:rsid w:val="0002541A"/>
    <w:rsid w:val="00032434"/>
    <w:rsid w:val="00040239"/>
    <w:rsid w:val="00053F9E"/>
    <w:rsid w:val="00055205"/>
    <w:rsid w:val="00064483"/>
    <w:rsid w:val="00070AE6"/>
    <w:rsid w:val="00074389"/>
    <w:rsid w:val="000852E9"/>
    <w:rsid w:val="00093D22"/>
    <w:rsid w:val="00094247"/>
    <w:rsid w:val="0009675B"/>
    <w:rsid w:val="000B2F38"/>
    <w:rsid w:val="000B79E4"/>
    <w:rsid w:val="000C1332"/>
    <w:rsid w:val="000C2E0C"/>
    <w:rsid w:val="000C507C"/>
    <w:rsid w:val="000D3D22"/>
    <w:rsid w:val="000E4F6A"/>
    <w:rsid w:val="000F477C"/>
    <w:rsid w:val="000F724B"/>
    <w:rsid w:val="001326B3"/>
    <w:rsid w:val="00137CAA"/>
    <w:rsid w:val="00156586"/>
    <w:rsid w:val="00157582"/>
    <w:rsid w:val="00160FB4"/>
    <w:rsid w:val="00166399"/>
    <w:rsid w:val="001841EA"/>
    <w:rsid w:val="0019070B"/>
    <w:rsid w:val="001934F9"/>
    <w:rsid w:val="00194B3B"/>
    <w:rsid w:val="001A6DD6"/>
    <w:rsid w:val="001A6E76"/>
    <w:rsid w:val="001B2F04"/>
    <w:rsid w:val="001B430C"/>
    <w:rsid w:val="001B4E10"/>
    <w:rsid w:val="001B6FAF"/>
    <w:rsid w:val="001C3E52"/>
    <w:rsid w:val="001D4733"/>
    <w:rsid w:val="001D4C75"/>
    <w:rsid w:val="001E2AEB"/>
    <w:rsid w:val="001E3827"/>
    <w:rsid w:val="001E532C"/>
    <w:rsid w:val="001F0EC7"/>
    <w:rsid w:val="00201F52"/>
    <w:rsid w:val="00213B11"/>
    <w:rsid w:val="00222893"/>
    <w:rsid w:val="00230FFB"/>
    <w:rsid w:val="00262E87"/>
    <w:rsid w:val="00265251"/>
    <w:rsid w:val="0026630C"/>
    <w:rsid w:val="00286980"/>
    <w:rsid w:val="0029145A"/>
    <w:rsid w:val="00295161"/>
    <w:rsid w:val="002B3D56"/>
    <w:rsid w:val="002C2AE7"/>
    <w:rsid w:val="002C2BF0"/>
    <w:rsid w:val="002C5209"/>
    <w:rsid w:val="002C535A"/>
    <w:rsid w:val="002C5DEC"/>
    <w:rsid w:val="002E0430"/>
    <w:rsid w:val="002F57DE"/>
    <w:rsid w:val="002F66A1"/>
    <w:rsid w:val="00310573"/>
    <w:rsid w:val="003141A3"/>
    <w:rsid w:val="00326141"/>
    <w:rsid w:val="00347DD6"/>
    <w:rsid w:val="00352D9B"/>
    <w:rsid w:val="00365AF5"/>
    <w:rsid w:val="00367ED7"/>
    <w:rsid w:val="00393EF3"/>
    <w:rsid w:val="00394D53"/>
    <w:rsid w:val="003A6C1D"/>
    <w:rsid w:val="003A78CF"/>
    <w:rsid w:val="003B1693"/>
    <w:rsid w:val="003B291C"/>
    <w:rsid w:val="003B5E51"/>
    <w:rsid w:val="003D0469"/>
    <w:rsid w:val="003D0615"/>
    <w:rsid w:val="003D1665"/>
    <w:rsid w:val="003D1705"/>
    <w:rsid w:val="003E1013"/>
    <w:rsid w:val="003E18FA"/>
    <w:rsid w:val="003F26B2"/>
    <w:rsid w:val="0040093F"/>
    <w:rsid w:val="00401D30"/>
    <w:rsid w:val="0040636F"/>
    <w:rsid w:val="00410451"/>
    <w:rsid w:val="00412C48"/>
    <w:rsid w:val="0042217C"/>
    <w:rsid w:val="00427663"/>
    <w:rsid w:val="00440458"/>
    <w:rsid w:val="00443C73"/>
    <w:rsid w:val="0044537F"/>
    <w:rsid w:val="0045144D"/>
    <w:rsid w:val="0045376C"/>
    <w:rsid w:val="00454A4A"/>
    <w:rsid w:val="004601FA"/>
    <w:rsid w:val="0046637C"/>
    <w:rsid w:val="004705E0"/>
    <w:rsid w:val="00471094"/>
    <w:rsid w:val="00476BA9"/>
    <w:rsid w:val="00480FEF"/>
    <w:rsid w:val="0048519B"/>
    <w:rsid w:val="0048670D"/>
    <w:rsid w:val="004A4512"/>
    <w:rsid w:val="004A760F"/>
    <w:rsid w:val="004B271E"/>
    <w:rsid w:val="004B4713"/>
    <w:rsid w:val="004B6CF7"/>
    <w:rsid w:val="004C79A2"/>
    <w:rsid w:val="004D5407"/>
    <w:rsid w:val="004D7500"/>
    <w:rsid w:val="004F5FD9"/>
    <w:rsid w:val="00501748"/>
    <w:rsid w:val="00507625"/>
    <w:rsid w:val="00515D50"/>
    <w:rsid w:val="00525828"/>
    <w:rsid w:val="005324BE"/>
    <w:rsid w:val="00533343"/>
    <w:rsid w:val="00534248"/>
    <w:rsid w:val="00534BD1"/>
    <w:rsid w:val="00545B32"/>
    <w:rsid w:val="00570BA2"/>
    <w:rsid w:val="00594A1E"/>
    <w:rsid w:val="005C4304"/>
    <w:rsid w:val="005C60FB"/>
    <w:rsid w:val="005E304B"/>
    <w:rsid w:val="005E651D"/>
    <w:rsid w:val="005E7E32"/>
    <w:rsid w:val="005F2A36"/>
    <w:rsid w:val="00600445"/>
    <w:rsid w:val="00601F6A"/>
    <w:rsid w:val="00604E56"/>
    <w:rsid w:val="00611AF0"/>
    <w:rsid w:val="00615F24"/>
    <w:rsid w:val="00615F3A"/>
    <w:rsid w:val="00616BCE"/>
    <w:rsid w:val="00622188"/>
    <w:rsid w:val="006345DE"/>
    <w:rsid w:val="00635494"/>
    <w:rsid w:val="00641BE3"/>
    <w:rsid w:val="00642583"/>
    <w:rsid w:val="00647B34"/>
    <w:rsid w:val="00662E30"/>
    <w:rsid w:val="0066778C"/>
    <w:rsid w:val="006841FE"/>
    <w:rsid w:val="00685B00"/>
    <w:rsid w:val="00692393"/>
    <w:rsid w:val="006A7945"/>
    <w:rsid w:val="006B1987"/>
    <w:rsid w:val="006D3CC2"/>
    <w:rsid w:val="006D59CD"/>
    <w:rsid w:val="006F5229"/>
    <w:rsid w:val="006F77DA"/>
    <w:rsid w:val="0070267D"/>
    <w:rsid w:val="00704CCD"/>
    <w:rsid w:val="007178F1"/>
    <w:rsid w:val="007212B4"/>
    <w:rsid w:val="00730C38"/>
    <w:rsid w:val="00762603"/>
    <w:rsid w:val="00765539"/>
    <w:rsid w:val="00786FAB"/>
    <w:rsid w:val="007914F4"/>
    <w:rsid w:val="0079773B"/>
    <w:rsid w:val="007C278C"/>
    <w:rsid w:val="007C3536"/>
    <w:rsid w:val="007C6F77"/>
    <w:rsid w:val="007D01FF"/>
    <w:rsid w:val="007D35D0"/>
    <w:rsid w:val="007D6226"/>
    <w:rsid w:val="007E01B7"/>
    <w:rsid w:val="007E13EA"/>
    <w:rsid w:val="007E6215"/>
    <w:rsid w:val="007E6B1B"/>
    <w:rsid w:val="008219B1"/>
    <w:rsid w:val="008259A2"/>
    <w:rsid w:val="008630E5"/>
    <w:rsid w:val="00865AC6"/>
    <w:rsid w:val="0087087F"/>
    <w:rsid w:val="00872018"/>
    <w:rsid w:val="00881E1E"/>
    <w:rsid w:val="0088227D"/>
    <w:rsid w:val="008941A6"/>
    <w:rsid w:val="008B7424"/>
    <w:rsid w:val="008D23EF"/>
    <w:rsid w:val="008D2928"/>
    <w:rsid w:val="008D6BA9"/>
    <w:rsid w:val="008F70D2"/>
    <w:rsid w:val="0090467F"/>
    <w:rsid w:val="009140DE"/>
    <w:rsid w:val="00917443"/>
    <w:rsid w:val="00923126"/>
    <w:rsid w:val="0092405D"/>
    <w:rsid w:val="00924FDA"/>
    <w:rsid w:val="009276CF"/>
    <w:rsid w:val="00934535"/>
    <w:rsid w:val="009351DB"/>
    <w:rsid w:val="00943219"/>
    <w:rsid w:val="009459A8"/>
    <w:rsid w:val="009545C5"/>
    <w:rsid w:val="009566D6"/>
    <w:rsid w:val="00970699"/>
    <w:rsid w:val="009775CA"/>
    <w:rsid w:val="00987BDA"/>
    <w:rsid w:val="009A64B8"/>
    <w:rsid w:val="009A6510"/>
    <w:rsid w:val="009A7470"/>
    <w:rsid w:val="009B04B5"/>
    <w:rsid w:val="009B387E"/>
    <w:rsid w:val="009B5546"/>
    <w:rsid w:val="009D28D5"/>
    <w:rsid w:val="009E0EA0"/>
    <w:rsid w:val="009F59F8"/>
    <w:rsid w:val="009F70E6"/>
    <w:rsid w:val="00A04A22"/>
    <w:rsid w:val="00A250D5"/>
    <w:rsid w:val="00A2748F"/>
    <w:rsid w:val="00A30095"/>
    <w:rsid w:val="00A30930"/>
    <w:rsid w:val="00A32780"/>
    <w:rsid w:val="00A578B4"/>
    <w:rsid w:val="00A6554B"/>
    <w:rsid w:val="00A75CFE"/>
    <w:rsid w:val="00A902BE"/>
    <w:rsid w:val="00A9145E"/>
    <w:rsid w:val="00A93788"/>
    <w:rsid w:val="00A975A3"/>
    <w:rsid w:val="00A9781F"/>
    <w:rsid w:val="00AB3D08"/>
    <w:rsid w:val="00AB3F54"/>
    <w:rsid w:val="00AC2F09"/>
    <w:rsid w:val="00AD4828"/>
    <w:rsid w:val="00AE428B"/>
    <w:rsid w:val="00AE4AA1"/>
    <w:rsid w:val="00AF6EEC"/>
    <w:rsid w:val="00B00813"/>
    <w:rsid w:val="00B02E7C"/>
    <w:rsid w:val="00B07C35"/>
    <w:rsid w:val="00B156FF"/>
    <w:rsid w:val="00B2647B"/>
    <w:rsid w:val="00B26D8C"/>
    <w:rsid w:val="00B34348"/>
    <w:rsid w:val="00B34C58"/>
    <w:rsid w:val="00B35CDD"/>
    <w:rsid w:val="00B500C5"/>
    <w:rsid w:val="00B52207"/>
    <w:rsid w:val="00B54C10"/>
    <w:rsid w:val="00B55BB5"/>
    <w:rsid w:val="00B638C9"/>
    <w:rsid w:val="00B72139"/>
    <w:rsid w:val="00B90C0E"/>
    <w:rsid w:val="00B91F01"/>
    <w:rsid w:val="00B93AA7"/>
    <w:rsid w:val="00BA5FA7"/>
    <w:rsid w:val="00BB022E"/>
    <w:rsid w:val="00BB42F4"/>
    <w:rsid w:val="00BE6B91"/>
    <w:rsid w:val="00BF255B"/>
    <w:rsid w:val="00BF537E"/>
    <w:rsid w:val="00BF61E7"/>
    <w:rsid w:val="00BF667C"/>
    <w:rsid w:val="00C00011"/>
    <w:rsid w:val="00C23500"/>
    <w:rsid w:val="00C25D6B"/>
    <w:rsid w:val="00C32B8F"/>
    <w:rsid w:val="00C34763"/>
    <w:rsid w:val="00C356B9"/>
    <w:rsid w:val="00C41190"/>
    <w:rsid w:val="00C450C3"/>
    <w:rsid w:val="00C54236"/>
    <w:rsid w:val="00C7205A"/>
    <w:rsid w:val="00C75195"/>
    <w:rsid w:val="00C7621A"/>
    <w:rsid w:val="00C87C6A"/>
    <w:rsid w:val="00C93894"/>
    <w:rsid w:val="00C9407C"/>
    <w:rsid w:val="00C9472D"/>
    <w:rsid w:val="00CB06A2"/>
    <w:rsid w:val="00CB0AA0"/>
    <w:rsid w:val="00CC5F55"/>
    <w:rsid w:val="00CD1723"/>
    <w:rsid w:val="00CD1775"/>
    <w:rsid w:val="00CE2D67"/>
    <w:rsid w:val="00CE72A2"/>
    <w:rsid w:val="00CF07CD"/>
    <w:rsid w:val="00CF4F29"/>
    <w:rsid w:val="00CF62FC"/>
    <w:rsid w:val="00CF6980"/>
    <w:rsid w:val="00D02160"/>
    <w:rsid w:val="00D0257B"/>
    <w:rsid w:val="00D11425"/>
    <w:rsid w:val="00D170E3"/>
    <w:rsid w:val="00D245D2"/>
    <w:rsid w:val="00D26712"/>
    <w:rsid w:val="00D2793F"/>
    <w:rsid w:val="00D31724"/>
    <w:rsid w:val="00D53A3B"/>
    <w:rsid w:val="00D55C50"/>
    <w:rsid w:val="00D67EB8"/>
    <w:rsid w:val="00D72D90"/>
    <w:rsid w:val="00D7340A"/>
    <w:rsid w:val="00D93B48"/>
    <w:rsid w:val="00DA5EA3"/>
    <w:rsid w:val="00DB2229"/>
    <w:rsid w:val="00DD173A"/>
    <w:rsid w:val="00DD23BA"/>
    <w:rsid w:val="00DD71D3"/>
    <w:rsid w:val="00DD7A8A"/>
    <w:rsid w:val="00DE0F1B"/>
    <w:rsid w:val="00E048FC"/>
    <w:rsid w:val="00E067B2"/>
    <w:rsid w:val="00E14610"/>
    <w:rsid w:val="00E25BD2"/>
    <w:rsid w:val="00E2770A"/>
    <w:rsid w:val="00E41A83"/>
    <w:rsid w:val="00E45A52"/>
    <w:rsid w:val="00E52D4A"/>
    <w:rsid w:val="00E8445F"/>
    <w:rsid w:val="00E90210"/>
    <w:rsid w:val="00EA7314"/>
    <w:rsid w:val="00EB4C94"/>
    <w:rsid w:val="00EC3EB0"/>
    <w:rsid w:val="00EC6D06"/>
    <w:rsid w:val="00ED0D6C"/>
    <w:rsid w:val="00ED474C"/>
    <w:rsid w:val="00EE5027"/>
    <w:rsid w:val="00EE684D"/>
    <w:rsid w:val="00EF1B92"/>
    <w:rsid w:val="00EF2838"/>
    <w:rsid w:val="00EF2BCE"/>
    <w:rsid w:val="00F02E6B"/>
    <w:rsid w:val="00F02E84"/>
    <w:rsid w:val="00F062C1"/>
    <w:rsid w:val="00F104A7"/>
    <w:rsid w:val="00F10E46"/>
    <w:rsid w:val="00F10EF8"/>
    <w:rsid w:val="00F170C8"/>
    <w:rsid w:val="00F327B5"/>
    <w:rsid w:val="00F34FEE"/>
    <w:rsid w:val="00F443F6"/>
    <w:rsid w:val="00F47A86"/>
    <w:rsid w:val="00F55FCD"/>
    <w:rsid w:val="00F71844"/>
    <w:rsid w:val="00F775CB"/>
    <w:rsid w:val="00F863D2"/>
    <w:rsid w:val="00F96DF5"/>
    <w:rsid w:val="00FB3C2A"/>
    <w:rsid w:val="00FB6BA0"/>
    <w:rsid w:val="00FC05D5"/>
    <w:rsid w:val="00FC2AC5"/>
    <w:rsid w:val="00FC70D8"/>
    <w:rsid w:val="00FD17E2"/>
    <w:rsid w:val="00FD516A"/>
    <w:rsid w:val="00FE16B4"/>
    <w:rsid w:val="00FE1C39"/>
    <w:rsid w:val="00FE733E"/>
    <w:rsid w:val="00FF1F4F"/>
    <w:rsid w:val="00FF3AF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D715CFF"/>
  <w15:chartTrackingRefBased/>
  <w15:docId w15:val="{58928929-9969-4C2A-8307-1592670D8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3F6"/>
    <w:pPr>
      <w:spacing w:line="280" w:lineRule="atLeast"/>
      <w:jc w:val="both"/>
    </w:pPr>
    <w:rPr>
      <w:rFonts w:ascii="Palatino Linotype" w:hAnsi="Palatino Linotype"/>
      <w:color w:val="00000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MDPI11articletype">
    <w:name w:val="MDPI_1.1_article_type"/>
    <w:next w:val="Normal"/>
    <w:qFormat/>
    <w:rsid w:val="00F443F6"/>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F443F6"/>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F443F6"/>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F443F6"/>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F443F6"/>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F443F6"/>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F443F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F443F6"/>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elanormal"/>
    <w:uiPriority w:val="99"/>
    <w:rsid w:val="009B04B5"/>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elacomgrade">
    <w:name w:val="Table Grid"/>
    <w:basedOn w:val="Tabelanormal"/>
    <w:uiPriority w:val="59"/>
    <w:rsid w:val="00F443F6"/>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odap">
    <w:name w:val="footer"/>
    <w:basedOn w:val="Normal"/>
    <w:link w:val="RodapChar"/>
    <w:uiPriority w:val="99"/>
    <w:rsid w:val="00F443F6"/>
    <w:pPr>
      <w:tabs>
        <w:tab w:val="center" w:pos="4153"/>
        <w:tab w:val="right" w:pos="8306"/>
      </w:tabs>
      <w:snapToGrid w:val="0"/>
      <w:spacing w:line="240" w:lineRule="atLeast"/>
    </w:pPr>
    <w:rPr>
      <w:szCs w:val="18"/>
    </w:rPr>
  </w:style>
  <w:style w:type="character" w:customStyle="1" w:styleId="RodapChar">
    <w:name w:val="Rodapé Char"/>
    <w:link w:val="Rodap"/>
    <w:uiPriority w:val="99"/>
    <w:rsid w:val="00F443F6"/>
    <w:rPr>
      <w:rFonts w:ascii="Palatino Linotype" w:hAnsi="Palatino Linotype"/>
      <w:noProof/>
      <w:color w:val="000000"/>
      <w:szCs w:val="18"/>
    </w:rPr>
  </w:style>
  <w:style w:type="paragraph" w:styleId="Cabealho">
    <w:name w:val="header"/>
    <w:basedOn w:val="Normal"/>
    <w:link w:val="CabealhoChar"/>
    <w:uiPriority w:val="99"/>
    <w:rsid w:val="00F443F6"/>
    <w:pPr>
      <w:pBdr>
        <w:bottom w:val="single" w:sz="6" w:space="1" w:color="auto"/>
      </w:pBdr>
      <w:tabs>
        <w:tab w:val="center" w:pos="4153"/>
        <w:tab w:val="right" w:pos="8306"/>
      </w:tabs>
      <w:snapToGrid w:val="0"/>
      <w:spacing w:line="240" w:lineRule="atLeast"/>
      <w:jc w:val="center"/>
    </w:pPr>
    <w:rPr>
      <w:szCs w:val="18"/>
    </w:rPr>
  </w:style>
  <w:style w:type="character" w:customStyle="1" w:styleId="CabealhoChar">
    <w:name w:val="Cabeçalho Char"/>
    <w:link w:val="Cabealho"/>
    <w:uiPriority w:val="99"/>
    <w:rsid w:val="00F443F6"/>
    <w:rPr>
      <w:rFonts w:ascii="Palatino Linotype" w:hAnsi="Palatino Linotype"/>
      <w:noProof/>
      <w:color w:val="000000"/>
      <w:szCs w:val="18"/>
    </w:rPr>
  </w:style>
  <w:style w:type="paragraph" w:customStyle="1" w:styleId="MDPI32textnoindent">
    <w:name w:val="MDPI_3.2_text_no_indent"/>
    <w:basedOn w:val="MDPI31text"/>
    <w:qFormat/>
    <w:rsid w:val="00F443F6"/>
    <w:pPr>
      <w:ind w:firstLine="0"/>
    </w:pPr>
  </w:style>
  <w:style w:type="paragraph" w:customStyle="1" w:styleId="MDPI31text">
    <w:name w:val="MDPI_3.1_text"/>
    <w:qFormat/>
    <w:rsid w:val="008D2928"/>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F443F6"/>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F443F6"/>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F443F6"/>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E25BD2"/>
    <w:pPr>
      <w:numPr>
        <w:numId w:val="21"/>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E25BD2"/>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F443F6"/>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F443F6"/>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F443F6"/>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D0257B"/>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F443F6"/>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F443F6"/>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F443F6"/>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F443F6"/>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F443F6"/>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F443F6"/>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872018"/>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Textodebalo">
    <w:name w:val="Balloon Text"/>
    <w:basedOn w:val="Normal"/>
    <w:link w:val="TextodebaloChar"/>
    <w:uiPriority w:val="99"/>
    <w:rsid w:val="00F443F6"/>
    <w:rPr>
      <w:rFonts w:cs="Tahoma"/>
      <w:szCs w:val="18"/>
    </w:rPr>
  </w:style>
  <w:style w:type="character" w:customStyle="1" w:styleId="TextodebaloChar">
    <w:name w:val="Texto de balão Char"/>
    <w:link w:val="Textodebalo"/>
    <w:uiPriority w:val="99"/>
    <w:rsid w:val="00F443F6"/>
    <w:rPr>
      <w:rFonts w:ascii="Palatino Linotype" w:hAnsi="Palatino Linotype" w:cs="Tahoma"/>
      <w:noProof/>
      <w:color w:val="000000"/>
      <w:szCs w:val="18"/>
    </w:rPr>
  </w:style>
  <w:style w:type="character" w:styleId="Nmerodelinha">
    <w:name w:val="line number"/>
    <w:uiPriority w:val="99"/>
    <w:rsid w:val="009276CF"/>
    <w:rPr>
      <w:rFonts w:ascii="Palatino Linotype" w:hAnsi="Palatino Linotype"/>
      <w:sz w:val="16"/>
    </w:rPr>
  </w:style>
  <w:style w:type="table" w:customStyle="1" w:styleId="MDPI41threelinetable">
    <w:name w:val="MDPI_4.1_three_line_table"/>
    <w:basedOn w:val="Tabelanormal"/>
    <w:uiPriority w:val="99"/>
    <w:rsid w:val="00F443F6"/>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F443F6"/>
    <w:rPr>
      <w:color w:val="0000FF"/>
      <w:u w:val="single"/>
    </w:rPr>
  </w:style>
  <w:style w:type="character" w:styleId="MenoPendente">
    <w:name w:val="Unresolved Mention"/>
    <w:uiPriority w:val="99"/>
    <w:semiHidden/>
    <w:unhideWhenUsed/>
    <w:rsid w:val="005C4304"/>
    <w:rPr>
      <w:color w:val="605E5C"/>
      <w:shd w:val="clear" w:color="auto" w:fill="E1DFDD"/>
    </w:rPr>
  </w:style>
  <w:style w:type="table" w:styleId="TabelaSimples4">
    <w:name w:val="Plain Table 4"/>
    <w:basedOn w:val="Tabelanormal"/>
    <w:uiPriority w:val="44"/>
    <w:rsid w:val="0060044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F443F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F443F6"/>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F443F6"/>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F443F6"/>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F443F6"/>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F443F6"/>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A75CFE"/>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F443F6"/>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F443F6"/>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EC3EB0"/>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elanormal"/>
    <w:uiPriority w:val="99"/>
    <w:rsid w:val="00F443F6"/>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F443F6"/>
  </w:style>
  <w:style w:type="paragraph" w:styleId="Bibliografia">
    <w:name w:val="Bibliography"/>
    <w:basedOn w:val="Normal"/>
    <w:next w:val="Normal"/>
    <w:uiPriority w:val="37"/>
    <w:unhideWhenUsed/>
    <w:rsid w:val="00F443F6"/>
    <w:pPr>
      <w:tabs>
        <w:tab w:val="left" w:pos="504"/>
      </w:tabs>
      <w:spacing w:line="240" w:lineRule="atLeast"/>
      <w:ind w:left="504" w:hanging="504"/>
    </w:pPr>
  </w:style>
  <w:style w:type="paragraph" w:styleId="Corpodetexto">
    <w:name w:val="Body Text"/>
    <w:link w:val="CorpodetextoChar"/>
    <w:rsid w:val="00F443F6"/>
    <w:pPr>
      <w:spacing w:after="120" w:line="340" w:lineRule="atLeast"/>
      <w:jc w:val="both"/>
    </w:pPr>
    <w:rPr>
      <w:rFonts w:ascii="Palatino Linotype" w:hAnsi="Palatino Linotype"/>
      <w:color w:val="000000"/>
      <w:sz w:val="24"/>
      <w:lang w:eastAsia="de-DE"/>
    </w:rPr>
  </w:style>
  <w:style w:type="character" w:customStyle="1" w:styleId="CorpodetextoChar">
    <w:name w:val="Corpo de texto Char"/>
    <w:link w:val="Corpodetexto"/>
    <w:rsid w:val="00F443F6"/>
    <w:rPr>
      <w:rFonts w:ascii="Palatino Linotype" w:hAnsi="Palatino Linotype"/>
      <w:color w:val="000000"/>
      <w:sz w:val="24"/>
      <w:lang w:eastAsia="de-DE"/>
    </w:rPr>
  </w:style>
  <w:style w:type="character" w:styleId="Refdecomentrio">
    <w:name w:val="annotation reference"/>
    <w:rsid w:val="00F443F6"/>
    <w:rPr>
      <w:sz w:val="21"/>
      <w:szCs w:val="21"/>
    </w:rPr>
  </w:style>
  <w:style w:type="paragraph" w:styleId="Textodecomentrio">
    <w:name w:val="annotation text"/>
    <w:basedOn w:val="Normal"/>
    <w:link w:val="TextodecomentrioChar"/>
    <w:rsid w:val="00F443F6"/>
  </w:style>
  <w:style w:type="character" w:customStyle="1" w:styleId="TextodecomentrioChar">
    <w:name w:val="Texto de comentário Char"/>
    <w:link w:val="Textodecomentrio"/>
    <w:rsid w:val="00F443F6"/>
    <w:rPr>
      <w:rFonts w:ascii="Palatino Linotype" w:hAnsi="Palatino Linotype"/>
      <w:noProof/>
      <w:color w:val="000000"/>
    </w:rPr>
  </w:style>
  <w:style w:type="paragraph" w:styleId="Assuntodocomentrio">
    <w:name w:val="annotation subject"/>
    <w:basedOn w:val="Textodecomentrio"/>
    <w:next w:val="Textodecomentrio"/>
    <w:link w:val="AssuntodocomentrioChar"/>
    <w:rsid w:val="00F443F6"/>
    <w:rPr>
      <w:b/>
      <w:bCs/>
    </w:rPr>
  </w:style>
  <w:style w:type="character" w:customStyle="1" w:styleId="AssuntodocomentrioChar">
    <w:name w:val="Assunto do comentário Char"/>
    <w:link w:val="Assuntodocomentrio"/>
    <w:rsid w:val="00F443F6"/>
    <w:rPr>
      <w:rFonts w:ascii="Palatino Linotype" w:hAnsi="Palatino Linotype"/>
      <w:b/>
      <w:bCs/>
      <w:noProof/>
      <w:color w:val="000000"/>
    </w:rPr>
  </w:style>
  <w:style w:type="character" w:styleId="Refdenotadefim">
    <w:name w:val="endnote reference"/>
    <w:rsid w:val="00F443F6"/>
    <w:rPr>
      <w:vertAlign w:val="superscript"/>
    </w:rPr>
  </w:style>
  <w:style w:type="paragraph" w:styleId="Textodenotadefim">
    <w:name w:val="endnote text"/>
    <w:basedOn w:val="Normal"/>
    <w:link w:val="TextodenotadefimChar"/>
    <w:semiHidden/>
    <w:unhideWhenUsed/>
    <w:rsid w:val="00F443F6"/>
    <w:pPr>
      <w:spacing w:line="240" w:lineRule="auto"/>
    </w:pPr>
  </w:style>
  <w:style w:type="character" w:customStyle="1" w:styleId="TextodenotadefimChar">
    <w:name w:val="Texto de nota de fim Char"/>
    <w:link w:val="Textodenotadefim"/>
    <w:semiHidden/>
    <w:rsid w:val="00F443F6"/>
    <w:rPr>
      <w:rFonts w:ascii="Palatino Linotype" w:hAnsi="Palatino Linotype"/>
      <w:noProof/>
      <w:color w:val="000000"/>
    </w:rPr>
  </w:style>
  <w:style w:type="character" w:styleId="HiperlinkVisitado">
    <w:name w:val="FollowedHyperlink"/>
    <w:rsid w:val="00F443F6"/>
    <w:rPr>
      <w:color w:val="954F72"/>
      <w:u w:val="single"/>
    </w:rPr>
  </w:style>
  <w:style w:type="paragraph" w:styleId="Textodenotaderodap">
    <w:name w:val="footnote text"/>
    <w:basedOn w:val="Normal"/>
    <w:link w:val="TextodenotaderodapChar"/>
    <w:semiHidden/>
    <w:unhideWhenUsed/>
    <w:rsid w:val="00F443F6"/>
    <w:pPr>
      <w:spacing w:line="240" w:lineRule="auto"/>
    </w:pPr>
  </w:style>
  <w:style w:type="character" w:customStyle="1" w:styleId="TextodenotaderodapChar">
    <w:name w:val="Texto de nota de rodapé Char"/>
    <w:link w:val="Textodenotaderodap"/>
    <w:semiHidden/>
    <w:rsid w:val="00F443F6"/>
    <w:rPr>
      <w:rFonts w:ascii="Palatino Linotype" w:hAnsi="Palatino Linotype"/>
      <w:noProof/>
      <w:color w:val="000000"/>
    </w:rPr>
  </w:style>
  <w:style w:type="paragraph" w:styleId="NormalWeb">
    <w:name w:val="Normal (Web)"/>
    <w:basedOn w:val="Normal"/>
    <w:uiPriority w:val="99"/>
    <w:rsid w:val="00F443F6"/>
    <w:rPr>
      <w:szCs w:val="24"/>
    </w:rPr>
  </w:style>
  <w:style w:type="paragraph" w:customStyle="1" w:styleId="MsoFootnoteText0">
    <w:name w:val="MsoFootnoteText"/>
    <w:basedOn w:val="NormalWeb"/>
    <w:qFormat/>
    <w:rsid w:val="00F443F6"/>
    <w:rPr>
      <w:rFonts w:ascii="Times New Roman" w:hAnsi="Times New Roman"/>
    </w:rPr>
  </w:style>
  <w:style w:type="character" w:styleId="Nmerodepgina">
    <w:name w:val="page number"/>
    <w:rsid w:val="00F443F6"/>
  </w:style>
  <w:style w:type="character" w:styleId="TextodoEspaoReservado">
    <w:name w:val="Placeholder Text"/>
    <w:uiPriority w:val="99"/>
    <w:semiHidden/>
    <w:rsid w:val="00F443F6"/>
    <w:rPr>
      <w:color w:val="808080"/>
    </w:rPr>
  </w:style>
  <w:style w:type="paragraph" w:customStyle="1" w:styleId="MDPI71footnotes">
    <w:name w:val="MDPI_7.1_footnotes"/>
    <w:qFormat/>
    <w:rsid w:val="00F71844"/>
    <w:pPr>
      <w:numPr>
        <w:numId w:val="20"/>
      </w:numPr>
      <w:adjustRightInd w:val="0"/>
      <w:snapToGrid w:val="0"/>
      <w:spacing w:line="280" w:lineRule="atLeast"/>
    </w:pPr>
    <w:rPr>
      <w:rFonts w:ascii="Palatino Linotype" w:eastAsiaTheme="minorEastAsia" w:hAnsi="Palatino Linotype"/>
      <w:noProof/>
      <w:color w:val="000000"/>
      <w:sz w:val="18"/>
    </w:rPr>
  </w:style>
  <w:style w:type="character" w:styleId="Forte">
    <w:name w:val="Strong"/>
    <w:basedOn w:val="Fontepargpadro"/>
    <w:uiPriority w:val="22"/>
    <w:qFormat/>
    <w:rsid w:val="003A6C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svg"/><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an\OneDrive\Documentos\Repositorios_github\DLBCL-CD19-Analysis\manuscript\Resende2026_MedSci.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D168D5-F040-49D6-BA71-DBE119E07C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Resende2026_MedSci</Template>
  <TotalTime>624</TotalTime>
  <Pages>27</Pages>
  <Words>32234</Words>
  <Characters>173102</Characters>
  <Application>Microsoft Office Word</Application>
  <DocSecurity>0</DocSecurity>
  <Lines>3934</Lines>
  <Paragraphs>2473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Type of the Paper (Article</vt:lpstr>
      <vt:lpstr>Type of the Paper (Article</vt:lpstr>
    </vt:vector>
  </TitlesOfParts>
  <Company/>
  <LinksUpToDate>false</LinksUpToDate>
  <CharactersWithSpaces>202863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Jean</dc:creator>
  <cp:keywords/>
  <dc:description/>
  <cp:lastModifiedBy>Jean Resende</cp:lastModifiedBy>
  <cp:revision>95</cp:revision>
  <dcterms:created xsi:type="dcterms:W3CDTF">2026-08-28T09:00:00Z</dcterms:created>
  <dcterms:modified xsi:type="dcterms:W3CDTF">2026-08-28T20:02:00Z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8250a0c4ace1c0b157e05f871db6ace5bc24d4a190cb68c1cfadabf5958a5c88</vt:lpwstr>
  </property>
  <property fmtid="{D5CDD505-2E9C-101B-9397-08002B2CF9AE}" pid="3" name="ZOTERO_PREF_1">
    <vt:lpwstr>&lt;data data-version="3" zotero-version="9.0.6"&gt;&lt;session id="l3MQh7TR"/&gt;&lt;style id="http://www.zotero.org/styles/multidisciplinary-digital-publishing-institute" hasBibliography="1" bibliographyStyleHasBeenSet="1"/&gt;&lt;prefs&gt;&lt;pref name="fieldType" value="Field"/</vt:lpwstr>
  </property>
  <property fmtid="{D5CDD505-2E9C-101B-9397-08002B2CF9AE}" pid="4" name="ZOTERO_PREF_2">
    <vt:lpwstr>&gt;&lt;pref name="automaticJournalAbbreviations" value="true"/&gt;&lt;/prefs&gt;&lt;/data&gt;</vt:lpwstr>
  </property>
</Properties>
</file>