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Alcohol Use Disorder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(n=12) vs. 2010+ (n=20);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42.0 (19.5–85.5)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68.5 (54.8–96.0)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29.0 (13.2–53.5)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1671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902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769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6.0 (2.8–12.0)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12.0 (10.5–18.0)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3.0 (1.0–6.5)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 (47%)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(45%)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16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(50%)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(50%)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(3%)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 (59%)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(58%)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(60%)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 (31%)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(42%)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(25%)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(72%)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(75%)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14 (70%)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31.3 (23.5), n=28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16.6 (31.9), n=9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38.2 (14.8), n=19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19.9 (20.0), n=14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19.9 (20.0), n=14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87.4 (13.6), n=31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81.9 (15.4), n=11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90.4 (11.8), n=20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(38%)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72%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(n=32)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9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B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status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9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97%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0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8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81%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BE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2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7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0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B7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AF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3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0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A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E2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A8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93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33%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69%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17%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(n=32)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(n=12)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(n=20)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(9%)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(15%)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(16%)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(20%)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 (34%)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(22%)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 (58%)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24 (75%)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(60%)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 (62%)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 (40%)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(28%)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 (75%)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(6%)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 (17%)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