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Opioid Use Disorder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(n=1) vs. 2010+ (n=1);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(n=6)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(n=1)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51.5 (32.8–65.8)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 (73–73)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27 (27–27)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8.0 (1.9–12.0)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(12–12)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1.2 (1.2–1.2)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(83%)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(67%)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(33%)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(67%)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(33%)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14.9 (8.0), n=6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0.0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22.2 (nan), n=1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51.0 (35.4), n=2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76.0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25.9 (nan), n=1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90.3 (11.1), n=5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94.9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100.0 (nan), n=1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(50%)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(33%)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(n=6)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(n=1)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(n=6)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status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8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8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(n=6)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(n=1)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(n=6)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(n=1)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(33%)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(33%)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(67%)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(50%)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(50%)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