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6"/>
        </w:rPr>
        <w:t>Table 4. Net benefit profile among studies reporting on adverse events (AEs)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 w:type="dxa"/>
        <w:gridCol w:w="1224" w:type="dxa"/>
        <w:gridCol w:w="1368" w:type="dxa"/>
        <w:gridCol w:w="1296" w:type="dxa"/>
        <w:gridCol w:w="1584" w:type="dxa"/>
        <w:gridCol w:w="720" w:type="dxa"/>
        <w:gridCol w:w="720" w:type="dxa"/>
        <w:gridCol w:w="792" w:type="dxa"/>
      </w:tblGrid>
      <w:tr>
        <w:tc>
          <w:tcPr>
            <w:tcW w:type="dxa" w:w="1944"/>
            <w:vMerge w:val="restart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Study Type (N)</w:t>
            </w:r>
          </w:p>
        </w:tc>
        <w:tc>
          <w:tcPr>
            <w:tcW w:type="dxa" w:w="1224"/>
            <w:vMerge w:val="restart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18"/>
              </w:rPr>
              <w:t>N total</w:t>
            </w:r>
          </w:p>
        </w:tc>
        <w:tc>
          <w:tcPr>
            <w:tcW w:type="dxa" w:w="1368"/>
            <w:vMerge w:val="restart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18"/>
              </w:rPr>
              <w:t>Studies with positive SU outcome</w:t>
            </w:r>
          </w:p>
        </w:tc>
        <w:tc>
          <w:tcPr>
            <w:tcW w:type="dxa" w:w="1296"/>
            <w:vMerge w:val="restart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18"/>
              </w:rPr>
              <w:t>Studies report assessing AEs</w:t>
            </w:r>
          </w:p>
        </w:tc>
        <w:tc>
          <w:tcPr>
            <w:tcW w:type="dxa" w:w="1584"/>
            <w:vMerge w:val="restart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18"/>
              </w:rPr>
              <w:t>Studies with ≥1 moderate/severe AE (of those assessing)</w:t>
            </w:r>
          </w:p>
        </w:tc>
        <w:tc>
          <w:tcPr>
            <w:tcW w:type="dxa" w:w="2232"/>
            <w:gridSpan w:val="3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18"/>
              </w:rPr>
              <w:t>AE events by severity</w:t>
            </w:r>
          </w:p>
        </w:tc>
      </w:tr>
      <w:tr>
        <w:tc>
          <w:tcPr>
            <w:tcW w:type="dxa" w:w="1944"/>
            <w:vMerge/>
          </w:tcPr>
          <w:p/>
        </w:tc>
        <w:tc>
          <w:tcPr>
            <w:tcW w:type="dxa" w:w="1224"/>
            <w:vMerge/>
          </w:tcPr>
          <w:p/>
        </w:tc>
        <w:tc>
          <w:tcPr>
            <w:tcW w:type="dxa" w:w="1368"/>
            <w:vMerge/>
          </w:tcPr>
          <w:p/>
        </w:tc>
        <w:tc>
          <w:tcPr>
            <w:tcW w:type="dxa" w:w="1296"/>
            <w:vMerge/>
          </w:tcPr>
          <w:p/>
        </w:tc>
        <w:tc>
          <w:tcPr>
            <w:tcW w:type="dxa" w:w="1584"/>
            <w:vMerge/>
          </w:tcPr>
          <w:p/>
        </w:tc>
        <w:tc>
          <w:tcPr>
            <w:tcW w:type="dxa" w:w="7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18"/>
              </w:rPr>
              <w:t>Mild</w:t>
            </w:r>
          </w:p>
        </w:tc>
        <w:tc>
          <w:tcPr>
            <w:tcW w:type="dxa" w:w="7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18"/>
              </w:rPr>
              <w:t>Mod.</w:t>
            </w:r>
          </w:p>
        </w:tc>
        <w:tc>
          <w:tcPr>
            <w:tcW w:type="dxa" w:w="7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18"/>
              </w:rPr>
              <w:t>Severe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Clinical Trial (42)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18"/>
              </w:rPr>
              <w:t>2,098</w:t>
            </w:r>
          </w:p>
        </w:tc>
        <w:tc>
          <w:tcPr>
            <w:tcW w:type="dxa" w:w="13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18"/>
              </w:rPr>
              <w:t>81%</w:t>
            </w:r>
          </w:p>
        </w:tc>
        <w:tc>
          <w:tcPr>
            <w:tcW w:type="dxa" w:w="12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18"/>
              </w:rPr>
              <w:t>36 (86%)</w:t>
            </w:r>
          </w:p>
        </w:tc>
        <w:tc>
          <w:tcPr>
            <w:tcW w:type="dxa" w:w="15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18"/>
              </w:rPr>
              <w:t>17/36 (47%)</w:t>
            </w:r>
          </w:p>
        </w:tc>
        <w:tc>
          <w:tcPr>
            <w:tcW w:type="dxa" w:w="7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18"/>
              </w:rPr>
              <w:t>144</w:t>
            </w:r>
          </w:p>
        </w:tc>
        <w:tc>
          <w:tcPr>
            <w:tcW w:type="dxa" w:w="7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18"/>
              </w:rPr>
              <w:t>17</w:t>
            </w:r>
          </w:p>
        </w:tc>
        <w:tc>
          <w:tcPr>
            <w:tcW w:type="dxa" w:w="7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18"/>
              </w:rPr>
              <w:t>24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 xml:space="preserve">    Tobacco (4)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127</w:t>
            </w:r>
          </w:p>
        </w:tc>
        <w:tc>
          <w:tcPr>
            <w:tcW w:type="dxa" w:w="13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2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4 (100%)</w:t>
            </w:r>
          </w:p>
        </w:tc>
        <w:tc>
          <w:tcPr>
            <w:tcW w:type="dxa" w:w="15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2/4 (50%)</w:t>
            </w:r>
          </w:p>
        </w:tc>
        <w:tc>
          <w:tcPr>
            <w:tcW w:type="dxa" w:w="7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23</w:t>
            </w:r>
          </w:p>
        </w:tc>
        <w:tc>
          <w:tcPr>
            <w:tcW w:type="dxa" w:w="7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7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 xml:space="preserve">    Opioids (6)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300</w:t>
            </w:r>
          </w:p>
        </w:tc>
        <w:tc>
          <w:tcPr>
            <w:tcW w:type="dxa" w:w="13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83%</w:t>
            </w:r>
          </w:p>
        </w:tc>
        <w:tc>
          <w:tcPr>
            <w:tcW w:type="dxa" w:w="12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6 (100%)</w:t>
            </w:r>
          </w:p>
        </w:tc>
        <w:tc>
          <w:tcPr>
            <w:tcW w:type="dxa" w:w="15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3/6 (50%)</w:t>
            </w:r>
          </w:p>
        </w:tc>
        <w:tc>
          <w:tcPr>
            <w:tcW w:type="dxa" w:w="7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7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7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6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 xml:space="preserve">    Alcohol (32)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1,671</w:t>
            </w:r>
          </w:p>
        </w:tc>
        <w:tc>
          <w:tcPr>
            <w:tcW w:type="dxa" w:w="13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78%</w:t>
            </w:r>
          </w:p>
        </w:tc>
        <w:tc>
          <w:tcPr>
            <w:tcW w:type="dxa" w:w="12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26 (81%)</w:t>
            </w:r>
          </w:p>
        </w:tc>
        <w:tc>
          <w:tcPr>
            <w:tcW w:type="dxa" w:w="15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12/26 (46%)</w:t>
            </w:r>
          </w:p>
        </w:tc>
        <w:tc>
          <w:tcPr>
            <w:tcW w:type="dxa" w:w="7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116</w:t>
            </w:r>
          </w:p>
        </w:tc>
        <w:tc>
          <w:tcPr>
            <w:tcW w:type="dxa" w:w="7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12</w:t>
            </w:r>
          </w:p>
        </w:tc>
        <w:tc>
          <w:tcPr>
            <w:tcW w:type="dxa" w:w="7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18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sz w:val="18"/>
              </w:rPr>
              <w:t>Observational (33)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18"/>
              </w:rPr>
              <w:t>979,474</w:t>
            </w:r>
          </w:p>
        </w:tc>
        <w:tc>
          <w:tcPr>
            <w:tcW w:type="dxa" w:w="13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18"/>
              </w:rPr>
              <w:t>85%</w:t>
            </w:r>
          </w:p>
        </w:tc>
        <w:tc>
          <w:tcPr>
            <w:tcW w:type="dxa" w:w="12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18"/>
              </w:rPr>
              <w:t>22 (67%)</w:t>
            </w:r>
          </w:p>
        </w:tc>
        <w:tc>
          <w:tcPr>
            <w:tcW w:type="dxa" w:w="15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18"/>
              </w:rPr>
              <w:t>11/22 (50%)</w:t>
            </w:r>
          </w:p>
        </w:tc>
        <w:tc>
          <w:tcPr>
            <w:tcW w:type="dxa" w:w="7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18"/>
              </w:rPr>
              <w:t>76</w:t>
            </w:r>
          </w:p>
        </w:tc>
        <w:tc>
          <w:tcPr>
            <w:tcW w:type="dxa" w:w="7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18"/>
              </w:rPr>
              <w:t>14</w:t>
            </w:r>
          </w:p>
        </w:tc>
        <w:tc>
          <w:tcPr>
            <w:tcW w:type="dxa" w:w="7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2F2F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sz w:val="18"/>
              </w:rPr>
              <w:t>13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 xml:space="preserve">    Tobacco (5)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215,165</w:t>
            </w:r>
          </w:p>
        </w:tc>
        <w:tc>
          <w:tcPr>
            <w:tcW w:type="dxa" w:w="13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80%</w:t>
            </w:r>
          </w:p>
        </w:tc>
        <w:tc>
          <w:tcPr>
            <w:tcW w:type="dxa" w:w="12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4 (80%)</w:t>
            </w:r>
          </w:p>
        </w:tc>
        <w:tc>
          <w:tcPr>
            <w:tcW w:type="dxa" w:w="15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1/4 (25%)</w:t>
            </w:r>
          </w:p>
        </w:tc>
        <w:tc>
          <w:tcPr>
            <w:tcW w:type="dxa" w:w="7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17</w:t>
            </w:r>
          </w:p>
        </w:tc>
        <w:tc>
          <w:tcPr>
            <w:tcW w:type="dxa" w:w="7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7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 xml:space="preserve">    Opioids (12)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966,437</w:t>
            </w:r>
          </w:p>
        </w:tc>
        <w:tc>
          <w:tcPr>
            <w:tcW w:type="dxa" w:w="13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83%</w:t>
            </w:r>
          </w:p>
        </w:tc>
        <w:tc>
          <w:tcPr>
            <w:tcW w:type="dxa" w:w="12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8 (67%)</w:t>
            </w:r>
          </w:p>
        </w:tc>
        <w:tc>
          <w:tcPr>
            <w:tcW w:type="dxa" w:w="15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5/8 (63%)</w:t>
            </w:r>
          </w:p>
        </w:tc>
        <w:tc>
          <w:tcPr>
            <w:tcW w:type="dxa" w:w="7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18</w:t>
            </w:r>
          </w:p>
        </w:tc>
        <w:tc>
          <w:tcPr>
            <w:tcW w:type="dxa" w:w="7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7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 xml:space="preserve">    Alcohol (19)</w:t>
            </w:r>
          </w:p>
        </w:tc>
        <w:tc>
          <w:tcPr>
            <w:tcW w:type="dxa" w:w="12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12,679</w:t>
            </w:r>
          </w:p>
        </w:tc>
        <w:tc>
          <w:tcPr>
            <w:tcW w:type="dxa" w:w="1368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84%</w:t>
            </w:r>
          </w:p>
        </w:tc>
        <w:tc>
          <w:tcPr>
            <w:tcW w:type="dxa" w:w="129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13 (68%)</w:t>
            </w:r>
          </w:p>
        </w:tc>
        <w:tc>
          <w:tcPr>
            <w:tcW w:type="dxa" w:w="158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5/13 (38%)</w:t>
            </w:r>
          </w:p>
        </w:tc>
        <w:tc>
          <w:tcPr>
            <w:tcW w:type="dxa" w:w="7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55</w:t>
            </w:r>
          </w:p>
        </w:tc>
        <w:tc>
          <w:tcPr>
            <w:tcW w:type="dxa" w:w="720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12</w:t>
            </w:r>
          </w:p>
        </w:tc>
        <w:tc>
          <w:tcPr>
            <w:tcW w:type="dxa" w:w="79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</w:tr>
    </w:tbl>
    <w:p>
      <w:r>
        <w:rPr>
          <w:rFonts w:ascii="Arial" w:hAnsi="Arial"/>
          <w:i w:val="0"/>
          <w:color w:val="555555"/>
          <w:sz w:val="18"/>
        </w:rPr>
        <w:t>AE = adverse event. Severity counts are discrete AE events, not participants.</w:t>
      </w:r>
    </w:p>
    <w:p>
      <w:r>
        <w:rPr>
          <w:rFonts w:ascii="Arial" w:hAnsi="Arial"/>
          <w:i/>
          <w:color w:val="555555"/>
          <w:sz w:val="18"/>
        </w:rPr>
        <w:t>Observational N total nets out the 214,505-person sample shared by Jones 2022 and Jones 2022 b, which the per-condition rows each count once. Generated by scripts/table4_ae_safety.py.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