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6"/>
        </w:rPr>
        <w:t>Table 3. Methodological evaluation: Indicators of USPSTF evidentiary standards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 w:type="dxa"/>
        <w:gridCol w:w="3744" w:type="dxa"/>
        <w:gridCol w:w="864" w:type="dxa"/>
        <w:gridCol w:w="1007" w:type="dxa"/>
        <w:gridCol w:w="936" w:type="dxa"/>
        <w:gridCol w:w="1007" w:type="dxa"/>
      </w:tblGrid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18"/>
              </w:rPr>
              <w:t>Domain</w:t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18"/>
              </w:rPr>
              <w:t>Indicator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18"/>
              </w:rPr>
              <w:t>All (n=42)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18"/>
              </w:rPr>
              <w:t>Alcohol (n=32)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18"/>
              </w:rPr>
              <w:t>Opioids (n=6)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18"/>
              </w:rPr>
              <w:t>Smoking (n=4)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18"/>
              </w:rPr>
              <w:t>Study Identification &amp; Design</w:t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Were subjects randomized?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59%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83%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25%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Were participants blinded?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53%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67%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Was the study double-blinded?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36%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38%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Did the study include a control or comparison group?*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64%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66%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83%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25%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Interfaces with primary care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2%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3%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Power reported or discussed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24%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28%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17%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Percent retention ≥ 80%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74%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75%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Validated scale or measure used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76%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72%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83%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Mediation analysis conducted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Moderation analysis conducted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7%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9%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Were inclusion/exclusion criteria clearly stated?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83%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81%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75%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Were funding sources and COIs disclosed?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86%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84%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83%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18"/>
              </w:rPr>
              <w:t>Population &amp; Generalizability</w:t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Was baseline status reported?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98%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97%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Age range reported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90%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88%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Average Percent of Participants = Female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29%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31%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15%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35%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Average Percent of Participants = BIPOC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21%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20%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51%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Are low SES participants included?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19%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19%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17%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25%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Country of study is the US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48%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47%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17%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Recruitment reflective of community/clinical populations**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2%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3%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18"/>
              </w:rPr>
              <w:t>Intervention &amp; Safety</w:t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Description of intervention content / delivery?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Was therapy / counseling / integration / prep included?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83%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88%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Were harms or AEs assessed?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86%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81%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18"/>
              </w:rPr>
              <w:t>Equity***</w:t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Was a cultural frame used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2%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17%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Were Indigenous frameworks referenced?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Did the study address reciprocity for Indigenous groups?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18"/>
              </w:rPr>
              <w:t>Outcomes &amp; Follow-Up</w:t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Was psychedelic intervention associated with improvement of behavior?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81%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78%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83%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Largest or Main Effect Size/Outcome reported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Hypothesis test reported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81%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81%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Median longest follow-up in months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Were behavioral changes measured?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Were physical/biological outcomes measured?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64%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53%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Were mental health outcomes measured?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57%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56%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67%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Was quality of life measured?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14%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19%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Were implementation outcomes measured?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29%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38%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Was a partial behavioral reduction reported?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76%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84%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17%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Was a complete cessation reported?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71%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69%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67%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100%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Was relapse tracked?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62%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56%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83%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75%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374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Was mortality measured?</w:t>
            </w:r>
          </w:p>
        </w:tc>
        <w:tc>
          <w:tcPr>
            <w:tcW w:type="dxa" w:w="864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12%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6%</w:t>
            </w:r>
          </w:p>
        </w:tc>
        <w:tc>
          <w:tcPr>
            <w:tcW w:type="dxa" w:w="936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50%</w:t>
            </w:r>
          </w:p>
        </w:tc>
        <w:tc>
          <w:tcPr>
            <w:tcW w:type="dxa" w:w="100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</w:tr>
    </w:tbl>
    <w:p>
      <w:r>
        <w:rPr>
          <w:rFonts w:ascii="Arial" w:hAnsi="Arial"/>
          <w:i w:val="0"/>
          <w:color w:val="555555"/>
          <w:sz w:val="18"/>
        </w:rPr>
        <w:t>*Two studies in 1967 and 1968 matched but did not randomize.</w:t>
      </w:r>
    </w:p>
    <w:p>
      <w:r>
        <w:rPr>
          <w:rFonts w:ascii="Arial" w:hAnsi="Arial"/>
          <w:i w:val="0"/>
          <w:color w:val="555555"/>
          <w:sz w:val="18"/>
        </w:rPr>
        <w:t>**Balancing patterns of substance use with US demographics, we filtered by ≤65% male, ≥40% BIPOC, and inclusion of low-SES participants.</w:t>
      </w:r>
    </w:p>
    <w:p>
      <w:r>
        <w:rPr>
          <w:rFonts w:ascii="Arial" w:hAnsi="Arial"/>
          <w:i w:val="0"/>
          <w:color w:val="555555"/>
          <w:sz w:val="18"/>
        </w:rPr>
        <w:t>***Reflective of USPSTF intention to expand assessment of access considerations, which can involve socio-cultural determinants, Indigenous frames, or reciprocity practices.</w:t>
      </w:r>
    </w:p>
    <w:p>
      <w:r>
        <w:rPr>
          <w:rFonts w:ascii="Arial" w:hAnsi="Arial"/>
          <w:i/>
          <w:color w:val="555555"/>
          <w:sz w:val="18"/>
        </w:rPr>
        <w:t>Missing or not-reported values count as not met (strict USPSTF gap convention). Generated by scripts/table3_gapmap.py.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